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474A9" w:rsidR="00713E4B" w:rsidP="00364CB1" w:rsidRDefault="00713E4B" w14:paraId="de63c32" w14:textId="de63c32">
      <w:pPr>
        <w:jc w:val="both"/>
        <w15:collapsed w:val="false"/>
        <w:rPr>
          <w:rFonts w:ascii="Arial" w:hAnsi="Arial" w:cs="Arial"/>
          <w:b/>
        </w:rPr>
      </w:pPr>
      <w:bookmarkStart w:name="_GoBack" w:id="0"/>
      <w:bookmarkEnd w:id="0"/>
    </w:p>
    <w:p w:rsidRPr="00F474A9" w:rsidR="000E759E" w:rsidP="000E759E" w:rsidRDefault="000E759E">
      <w:pPr>
        <w:jc w:val="both"/>
        <w:rPr>
          <w:rFonts w:ascii="Arial" w:hAnsi="Arial" w:eastAsia="Calibri" w:cs="Arial"/>
          <w:b/>
        </w:rPr>
      </w:pPr>
      <w:r w:rsidRPr="00F474A9">
        <w:rPr>
          <w:rFonts w:ascii="Arial" w:hAnsi="Arial" w:eastAsia="Calibri" w:cs="Arial"/>
          <w:b/>
        </w:rPr>
        <w:t>REPUBLIKA HRVATSKA</w:t>
      </w:r>
    </w:p>
    <w:p w:rsidRPr="00F474A9" w:rsidR="000E759E" w:rsidP="000E759E" w:rsidRDefault="000E759E">
      <w:pPr>
        <w:jc w:val="both"/>
        <w:rPr>
          <w:rFonts w:ascii="Arial" w:hAnsi="Arial" w:eastAsia="Calibri" w:cs="Arial"/>
          <w:b/>
        </w:rPr>
      </w:pPr>
      <w:r w:rsidRPr="00F474A9">
        <w:rPr>
          <w:rFonts w:ascii="Arial" w:hAnsi="Arial" w:eastAsia="Calibri" w:cs="Arial"/>
          <w:b/>
        </w:rPr>
        <w:t>TRGOVAČKI SUD U ZAGREBU</w:t>
      </w:r>
      <w:r w:rsidRPr="00F474A9">
        <w:rPr>
          <w:rFonts w:ascii="Arial" w:hAnsi="Arial" w:eastAsia="Calibri" w:cs="Arial"/>
          <w:b/>
        </w:rPr>
        <w:tab/>
      </w:r>
      <w:r w:rsidRPr="00F474A9">
        <w:rPr>
          <w:rFonts w:ascii="Arial" w:hAnsi="Arial" w:eastAsia="Calibri" w:cs="Arial"/>
          <w:b/>
        </w:rPr>
        <w:tab/>
      </w:r>
      <w:r w:rsidRPr="00F474A9">
        <w:rPr>
          <w:rFonts w:ascii="Arial" w:hAnsi="Arial" w:eastAsia="Calibri" w:cs="Arial"/>
          <w:b/>
        </w:rPr>
        <w:tab/>
      </w:r>
      <w:r w:rsidRPr="00F474A9">
        <w:rPr>
          <w:rFonts w:ascii="Arial" w:hAnsi="Arial" w:eastAsia="Calibri" w:cs="Arial"/>
          <w:b/>
        </w:rPr>
        <w:tab/>
      </w:r>
      <w:r w:rsidRPr="00F474A9">
        <w:rPr>
          <w:rFonts w:ascii="Arial" w:hAnsi="Arial" w:eastAsia="Calibri" w:cs="Arial"/>
          <w:b/>
        </w:rPr>
        <w:tab/>
      </w:r>
      <w:r w:rsidRPr="00F474A9">
        <w:rPr>
          <w:rFonts w:ascii="Arial" w:hAnsi="Arial" w:eastAsia="Calibri" w:cs="Arial"/>
          <w:b/>
        </w:rPr>
        <w:tab/>
      </w:r>
      <w:r w:rsidRPr="00F474A9">
        <w:rPr>
          <w:rFonts w:ascii="Arial" w:hAnsi="Arial" w:eastAsia="Calibri" w:cs="Arial"/>
          <w:b/>
        </w:rPr>
        <w:tab/>
      </w:r>
      <w:r w:rsidRPr="00F474A9">
        <w:rPr>
          <w:rFonts w:ascii="Arial" w:hAnsi="Arial" w:eastAsia="Calibri" w:cs="Arial"/>
          <w:b/>
        </w:rPr>
        <w:tab/>
      </w:r>
      <w:r w:rsidRPr="00F474A9">
        <w:rPr>
          <w:rFonts w:ascii="Arial" w:hAnsi="Arial" w:eastAsia="Calibri" w:cs="Arial"/>
          <w:b/>
        </w:rPr>
        <w:tab/>
      </w:r>
      <w:r w:rsidRPr="00F474A9">
        <w:rPr>
          <w:rFonts w:ascii="Arial" w:hAnsi="Arial" w:eastAsia="Calibri" w:cs="Arial"/>
          <w:b/>
        </w:rPr>
        <w:tab/>
      </w:r>
      <w:r w:rsidRPr="00F474A9">
        <w:rPr>
          <w:rFonts w:ascii="Arial" w:hAnsi="Arial" w:eastAsia="Calibri" w:cs="Arial"/>
          <w:b/>
        </w:rPr>
        <w:tab/>
      </w:r>
      <w:r w:rsidRPr="00F474A9">
        <w:rPr>
          <w:rFonts w:ascii="Arial" w:hAnsi="Arial" w:eastAsia="Calibri" w:cs="Arial"/>
          <w:b/>
        </w:rPr>
        <w:tab/>
      </w:r>
      <w:r w:rsidRPr="00F474A9">
        <w:rPr>
          <w:rFonts w:ascii="Arial" w:hAnsi="Arial" w:eastAsia="Calibri" w:cs="Arial"/>
          <w:b/>
        </w:rPr>
        <w:tab/>
      </w:r>
      <w:r w:rsidRPr="00F474A9">
        <w:rPr>
          <w:rFonts w:ascii="Arial" w:hAnsi="Arial" w:eastAsia="Calibri" w:cs="Arial"/>
          <w:b/>
        </w:rPr>
        <w:tab/>
      </w:r>
      <w:r w:rsidRPr="00F474A9">
        <w:rPr>
          <w:rFonts w:ascii="Arial" w:hAnsi="Arial" w:eastAsia="Calibri" w:cs="Arial"/>
          <w:b/>
        </w:rPr>
        <w:tab/>
      </w:r>
      <w:r w:rsidRPr="00F474A9">
        <w:rPr>
          <w:rFonts w:ascii="Arial" w:hAnsi="Arial" w:eastAsia="Calibri" w:cs="Arial"/>
          <w:b/>
        </w:rPr>
        <w:tab/>
      </w:r>
      <w:r w:rsidRPr="00F474A9">
        <w:rPr>
          <w:rFonts w:ascii="Arial" w:hAnsi="Arial" w:eastAsia="Calibri" w:cs="Arial"/>
          <w:b/>
        </w:rPr>
        <w:tab/>
      </w:r>
      <w:r w:rsidRPr="00F474A9" w:rsidR="004A7D70">
        <w:rPr>
          <w:rFonts w:ascii="Arial" w:hAnsi="Arial" w:eastAsia="Calibri" w:cs="Arial"/>
          <w:b/>
        </w:rPr>
        <w:t xml:space="preserve">                      </w:t>
      </w:r>
      <w:r w:rsidR="00BA1D80">
        <w:rPr>
          <w:rFonts w:ascii="Arial" w:hAnsi="Arial" w:eastAsia="Calibri" w:cs="Arial"/>
          <w:b/>
        </w:rPr>
        <w:tab/>
      </w:r>
      <w:r w:rsidRPr="00F474A9" w:rsidR="004A7D70">
        <w:rPr>
          <w:rFonts w:ascii="Arial" w:hAnsi="Arial" w:eastAsia="Calibri" w:cs="Arial"/>
          <w:b/>
        </w:rPr>
        <w:t>P-</w:t>
      </w:r>
      <w:r w:rsidR="00BA1D80">
        <w:rPr>
          <w:rFonts w:ascii="Arial" w:hAnsi="Arial" w:eastAsia="Calibri" w:cs="Arial"/>
          <w:b/>
        </w:rPr>
        <w:t>1191/2024</w:t>
      </w:r>
    </w:p>
    <w:p w:rsidRPr="00F474A9" w:rsidR="000E759E" w:rsidP="000E759E" w:rsidRDefault="000E759E">
      <w:pPr>
        <w:jc w:val="center"/>
        <w:rPr>
          <w:rFonts w:ascii="Arial" w:hAnsi="Arial" w:eastAsia="Calibri" w:cs="Arial"/>
          <w:b/>
        </w:rPr>
      </w:pPr>
      <w:r w:rsidRPr="00F474A9">
        <w:rPr>
          <w:rFonts w:ascii="Arial" w:hAnsi="Arial" w:eastAsia="Calibri" w:cs="Arial"/>
          <w:b/>
        </w:rPr>
        <w:t>Z A P I S N I K</w:t>
      </w:r>
    </w:p>
    <w:p w:rsidRPr="00F474A9" w:rsidR="000E759E" w:rsidP="000E759E" w:rsidRDefault="000E759E">
      <w:pPr>
        <w:jc w:val="center"/>
        <w:rPr>
          <w:rFonts w:ascii="Arial" w:hAnsi="Arial" w:eastAsia="Calibri" w:cs="Arial"/>
        </w:rPr>
      </w:pPr>
      <w:r w:rsidRPr="00F474A9">
        <w:rPr>
          <w:rFonts w:ascii="Arial" w:hAnsi="Arial" w:eastAsia="Calibri" w:cs="Arial"/>
        </w:rPr>
        <w:t xml:space="preserve">o održanom pripremnom ročištu koje je održano </w:t>
      </w:r>
      <w:r w:rsidR="00BA1D80">
        <w:rPr>
          <w:rFonts w:ascii="Arial" w:hAnsi="Arial" w:eastAsia="Calibri" w:cs="Arial"/>
        </w:rPr>
        <w:t>20. ožujka 2025.</w:t>
      </w:r>
    </w:p>
    <w:p w:rsidRPr="00F474A9" w:rsidR="000E759E" w:rsidP="000E759E" w:rsidRDefault="000E759E">
      <w:pPr>
        <w:jc w:val="center"/>
        <w:rPr>
          <w:rFonts w:ascii="Arial" w:hAnsi="Arial" w:eastAsia="Calibri" w:cs="Arial"/>
        </w:rPr>
      </w:pPr>
      <w:r w:rsidRPr="00F474A9">
        <w:rPr>
          <w:rFonts w:ascii="Arial" w:hAnsi="Arial" w:eastAsia="Calibri" w:cs="Arial"/>
        </w:rPr>
        <w:t>na Trgovačkom sudu u Zagrebu.</w:t>
      </w:r>
    </w:p>
    <w:p w:rsidRPr="00F474A9" w:rsidR="000E759E" w:rsidP="000E759E" w:rsidRDefault="000E759E">
      <w:pPr>
        <w:rPr>
          <w:rFonts w:ascii="Arial" w:hAnsi="Arial" w:eastAsia="Calibri" w:cs="Arial"/>
        </w:rPr>
      </w:pPr>
    </w:p>
    <w:tbl>
      <w:tblPr>
        <w:tblW w:w="0" w:type="auto"/>
        <w:tblLook w:firstRow="1" w:lastRow="1" w:firstColumn="1" w:lastColumn="1" w:noHBand="0" w:noVBand="0" w:val="01E0"/>
      </w:tblPr>
      <w:tblGrid>
        <w:gridCol w:w="3096"/>
        <w:gridCol w:w="2052"/>
        <w:gridCol w:w="4140"/>
      </w:tblGrid>
      <w:tr w:rsidRPr="00F474A9" w:rsidR="000E759E" w:rsidTr="00B71F83">
        <w:trPr>
          <w:trHeight w:val="1038"/>
        </w:trPr>
        <w:tc>
          <w:tcPr>
            <w:tcW w:w="3096" w:type="dxa"/>
            <w:vAlign w:val="center"/>
          </w:tcPr>
          <w:p w:rsidRPr="00F474A9" w:rsidR="000E759E" w:rsidP="000E759E" w:rsidRDefault="000E759E">
            <w:pPr>
              <w:rPr>
                <w:rFonts w:ascii="Arial" w:hAnsi="Arial" w:eastAsia="Calibri" w:cs="Arial"/>
              </w:rPr>
            </w:pPr>
            <w:r w:rsidRPr="00F474A9">
              <w:rPr>
                <w:rFonts w:ascii="Arial" w:hAnsi="Arial" w:eastAsia="Calibri" w:cs="Arial"/>
              </w:rPr>
              <w:t>Prisutni od strane suda</w:t>
            </w:r>
          </w:p>
          <w:p w:rsidRPr="00F474A9" w:rsidR="000E759E" w:rsidP="000E759E" w:rsidRDefault="000E759E">
            <w:pPr>
              <w:rPr>
                <w:rFonts w:ascii="Arial" w:hAnsi="Arial" w:eastAsia="Calibri" w:cs="Arial"/>
              </w:rPr>
            </w:pPr>
          </w:p>
          <w:p w:rsidRPr="00F474A9" w:rsidR="000E759E" w:rsidP="000E759E" w:rsidRDefault="000E759E">
            <w:pPr>
              <w:rPr>
                <w:rFonts w:ascii="Arial" w:hAnsi="Arial" w:eastAsia="Calibri" w:cs="Arial"/>
              </w:rPr>
            </w:pPr>
            <w:r w:rsidRPr="00F474A9">
              <w:rPr>
                <w:rFonts w:ascii="Arial" w:hAnsi="Arial" w:eastAsia="Calibri" w:cs="Arial"/>
              </w:rPr>
              <w:t>Sudac:</w:t>
            </w:r>
          </w:p>
          <w:p w:rsidRPr="00F474A9" w:rsidR="000E759E" w:rsidP="00BA1D80" w:rsidRDefault="000E759E">
            <w:pPr>
              <w:rPr>
                <w:rFonts w:ascii="Arial" w:hAnsi="Arial" w:eastAsia="Calibri" w:cs="Arial"/>
              </w:rPr>
            </w:pPr>
            <w:r w:rsidRPr="00F474A9">
              <w:rPr>
                <w:rFonts w:ascii="Arial" w:hAnsi="Arial" w:eastAsia="Calibri" w:cs="Arial"/>
              </w:rPr>
              <w:t xml:space="preserve">Aleksandra </w:t>
            </w:r>
            <w:r w:rsidR="00BA1D80">
              <w:rPr>
                <w:rFonts w:ascii="Arial" w:hAnsi="Arial" w:eastAsia="Calibri" w:cs="Arial"/>
              </w:rPr>
              <w:t>Bilić</w:t>
            </w:r>
          </w:p>
        </w:tc>
        <w:tc>
          <w:tcPr>
            <w:tcW w:w="2052" w:type="dxa"/>
          </w:tcPr>
          <w:p w:rsidRPr="00F474A9" w:rsidR="000E759E" w:rsidP="000E759E" w:rsidRDefault="000E759E">
            <w:pPr>
              <w:rPr>
                <w:rFonts w:ascii="Arial" w:hAnsi="Arial" w:eastAsia="Calibri" w:cs="Arial"/>
              </w:rPr>
            </w:pPr>
          </w:p>
        </w:tc>
        <w:tc>
          <w:tcPr>
            <w:tcW w:w="4140" w:type="dxa"/>
            <w:vAlign w:val="center"/>
          </w:tcPr>
          <w:p w:rsidRPr="00F474A9" w:rsidR="000E759E" w:rsidP="000E759E" w:rsidRDefault="000E759E">
            <w:pPr>
              <w:rPr>
                <w:rFonts w:ascii="Arial" w:hAnsi="Arial" w:eastAsia="Calibri" w:cs="Arial"/>
              </w:rPr>
            </w:pPr>
            <w:r w:rsidRPr="00F474A9">
              <w:rPr>
                <w:rFonts w:ascii="Arial" w:hAnsi="Arial" w:eastAsia="Calibri" w:cs="Arial"/>
              </w:rPr>
              <w:t>Pravna stvar:</w:t>
            </w:r>
          </w:p>
          <w:p w:rsidRPr="008E2C9E" w:rsidR="000E759E" w:rsidP="008E2C9E" w:rsidRDefault="000E759E">
            <w:pPr>
              <w:pStyle w:val="Default"/>
            </w:pPr>
            <w:r w:rsidRPr="00F474A9">
              <w:rPr>
                <w:rFonts w:eastAsia="Calibri"/>
              </w:rPr>
              <w:t xml:space="preserve">Tužitelj: </w:t>
            </w:r>
            <w:r w:rsidR="008E2C9E">
              <w:rPr>
                <w:sz w:val="23"/>
                <w:szCs w:val="23"/>
              </w:rPr>
              <w:t>SKELA BANOVINA d.o.o., OIB 06123730554, Ajdovščinska 44, Petrinja</w:t>
            </w:r>
          </w:p>
        </w:tc>
      </w:tr>
      <w:tr w:rsidRPr="00F474A9" w:rsidR="000E759E" w:rsidTr="00B71F83">
        <w:tc>
          <w:tcPr>
            <w:tcW w:w="3096" w:type="dxa"/>
          </w:tcPr>
          <w:p w:rsidRPr="00F474A9" w:rsidR="000E759E" w:rsidP="000E759E" w:rsidRDefault="000E759E">
            <w:pPr>
              <w:rPr>
                <w:rFonts w:ascii="Arial" w:hAnsi="Arial" w:eastAsia="Calibri" w:cs="Arial"/>
              </w:rPr>
            </w:pPr>
          </w:p>
        </w:tc>
        <w:tc>
          <w:tcPr>
            <w:tcW w:w="2052" w:type="dxa"/>
          </w:tcPr>
          <w:p w:rsidRPr="00F474A9" w:rsidR="000E759E" w:rsidP="000E759E" w:rsidRDefault="000E759E">
            <w:pPr>
              <w:rPr>
                <w:rFonts w:ascii="Arial" w:hAnsi="Arial" w:eastAsia="Calibri" w:cs="Arial"/>
              </w:rPr>
            </w:pPr>
          </w:p>
        </w:tc>
        <w:tc>
          <w:tcPr>
            <w:tcW w:w="4140" w:type="dxa"/>
          </w:tcPr>
          <w:p w:rsidRPr="00F474A9" w:rsidR="000E759E" w:rsidP="000E759E" w:rsidRDefault="000E759E">
            <w:pPr>
              <w:rPr>
                <w:rFonts w:ascii="Arial" w:hAnsi="Arial" w:eastAsia="Calibri" w:cs="Arial"/>
              </w:rPr>
            </w:pPr>
          </w:p>
        </w:tc>
      </w:tr>
      <w:tr w:rsidRPr="00F474A9" w:rsidR="000E759E" w:rsidTr="00B71F83">
        <w:trPr>
          <w:trHeight w:val="787"/>
        </w:trPr>
        <w:tc>
          <w:tcPr>
            <w:tcW w:w="3096" w:type="dxa"/>
            <w:vAlign w:val="center"/>
          </w:tcPr>
          <w:p w:rsidRPr="00F474A9" w:rsidR="000E759E" w:rsidP="000E759E" w:rsidRDefault="000E759E">
            <w:pPr>
              <w:rPr>
                <w:rFonts w:ascii="Arial" w:hAnsi="Arial" w:eastAsia="Calibri" w:cs="Arial"/>
              </w:rPr>
            </w:pPr>
            <w:r w:rsidRPr="00F474A9">
              <w:rPr>
                <w:rFonts w:ascii="Arial" w:hAnsi="Arial" w:eastAsia="Calibri" w:cs="Arial"/>
              </w:rPr>
              <w:t>Zapisničar:</w:t>
            </w:r>
          </w:p>
          <w:p w:rsidRPr="00F474A9" w:rsidR="000E759E" w:rsidP="000E759E" w:rsidRDefault="00BA1D80">
            <w:pPr>
              <w:rPr>
                <w:rFonts w:ascii="Arial" w:hAnsi="Arial" w:eastAsia="Calibri" w:cs="Arial"/>
              </w:rPr>
            </w:pPr>
            <w:r>
              <w:rPr>
                <w:rFonts w:ascii="Arial" w:hAnsi="Arial" w:eastAsia="Calibri" w:cs="Arial"/>
              </w:rPr>
              <w:t>Dunja Javorić</w:t>
            </w:r>
          </w:p>
          <w:p w:rsidRPr="00F474A9" w:rsidR="000E759E" w:rsidP="000E759E" w:rsidRDefault="000E759E">
            <w:pPr>
              <w:rPr>
                <w:rFonts w:ascii="Arial" w:hAnsi="Arial" w:eastAsia="Calibri" w:cs="Arial"/>
              </w:rPr>
            </w:pPr>
          </w:p>
        </w:tc>
        <w:tc>
          <w:tcPr>
            <w:tcW w:w="2052" w:type="dxa"/>
          </w:tcPr>
          <w:p w:rsidRPr="00F474A9" w:rsidR="000E759E" w:rsidP="000E759E" w:rsidRDefault="000E759E">
            <w:pPr>
              <w:rPr>
                <w:rFonts w:ascii="Arial" w:hAnsi="Arial" w:eastAsia="Calibri" w:cs="Arial"/>
              </w:rPr>
            </w:pPr>
          </w:p>
        </w:tc>
        <w:tc>
          <w:tcPr>
            <w:tcW w:w="4140" w:type="dxa"/>
            <w:vAlign w:val="center"/>
          </w:tcPr>
          <w:p w:rsidRPr="008E2C9E" w:rsidR="00535BBD" w:rsidP="008E2C9E" w:rsidRDefault="00535BBD">
            <w:pPr>
              <w:pStyle w:val="Default"/>
              <w:rPr>
                <w:rFonts w:ascii="Times New Roman" w:hAnsi="Times New Roman" w:cs="Times New Roman"/>
              </w:rPr>
            </w:pPr>
            <w:r w:rsidRPr="00F474A9">
              <w:rPr>
                <w:rFonts w:eastAsia="Calibri"/>
              </w:rPr>
              <w:t xml:space="preserve">Tuženik: </w:t>
            </w:r>
            <w:r w:rsidRPr="008E2C9E" w:rsidR="008E2C9E">
              <w:t>Nebojša Bunčić</w:t>
            </w:r>
            <w:r w:rsidR="004548C4">
              <w:t xml:space="preserve"> u ime OPG Bunčić</w:t>
            </w:r>
            <w:r w:rsidRPr="008E2C9E" w:rsidR="008E2C9E">
              <w:t>, OIB 84051582431, Veliki Šušnjar 3</w:t>
            </w:r>
            <w:r w:rsidR="00054C1F">
              <w:t>, Veliki Šušnjar</w:t>
            </w:r>
          </w:p>
          <w:p w:rsidRPr="00F474A9" w:rsidR="000E759E" w:rsidP="00BA1D80" w:rsidRDefault="000E759E">
            <w:pPr>
              <w:rPr>
                <w:rFonts w:ascii="Arial" w:hAnsi="Arial" w:eastAsia="Calibri" w:cs="Arial"/>
              </w:rPr>
            </w:pPr>
          </w:p>
        </w:tc>
      </w:tr>
      <w:tr w:rsidRPr="00F474A9" w:rsidR="000E759E" w:rsidTr="00B71F83">
        <w:tc>
          <w:tcPr>
            <w:tcW w:w="3096" w:type="dxa"/>
          </w:tcPr>
          <w:p w:rsidRPr="00F474A9" w:rsidR="000E759E" w:rsidP="000E759E" w:rsidRDefault="000E759E">
            <w:pPr>
              <w:rPr>
                <w:rFonts w:ascii="Arial" w:hAnsi="Arial" w:eastAsia="Calibri" w:cs="Arial"/>
              </w:rPr>
            </w:pPr>
          </w:p>
        </w:tc>
        <w:tc>
          <w:tcPr>
            <w:tcW w:w="2052" w:type="dxa"/>
          </w:tcPr>
          <w:p w:rsidRPr="00F474A9" w:rsidR="000E759E" w:rsidP="000E759E" w:rsidRDefault="000E759E">
            <w:pPr>
              <w:rPr>
                <w:rFonts w:ascii="Arial" w:hAnsi="Arial" w:eastAsia="Calibri" w:cs="Arial"/>
              </w:rPr>
            </w:pPr>
          </w:p>
        </w:tc>
        <w:tc>
          <w:tcPr>
            <w:tcW w:w="4140" w:type="dxa"/>
            <w:vAlign w:val="center"/>
          </w:tcPr>
          <w:p w:rsidRPr="00F474A9" w:rsidR="000E759E" w:rsidP="000E759E" w:rsidRDefault="000E759E">
            <w:pPr>
              <w:rPr>
                <w:rFonts w:ascii="Arial" w:hAnsi="Arial" w:eastAsia="Calibri" w:cs="Arial"/>
              </w:rPr>
            </w:pPr>
          </w:p>
        </w:tc>
      </w:tr>
      <w:tr w:rsidRPr="00F474A9" w:rsidR="000E759E" w:rsidTr="00B71F83">
        <w:tc>
          <w:tcPr>
            <w:tcW w:w="3096" w:type="dxa"/>
          </w:tcPr>
          <w:p w:rsidRPr="00F474A9" w:rsidR="000E759E" w:rsidP="000E759E" w:rsidRDefault="000E759E">
            <w:pPr>
              <w:rPr>
                <w:rFonts w:ascii="Arial" w:hAnsi="Arial" w:eastAsia="Calibri" w:cs="Arial"/>
              </w:rPr>
            </w:pPr>
          </w:p>
        </w:tc>
        <w:tc>
          <w:tcPr>
            <w:tcW w:w="2052" w:type="dxa"/>
          </w:tcPr>
          <w:p w:rsidRPr="00F474A9" w:rsidR="000E759E" w:rsidP="000E759E" w:rsidRDefault="000E759E">
            <w:pPr>
              <w:rPr>
                <w:rFonts w:ascii="Arial" w:hAnsi="Arial" w:eastAsia="Calibri" w:cs="Arial"/>
              </w:rPr>
            </w:pPr>
          </w:p>
        </w:tc>
        <w:tc>
          <w:tcPr>
            <w:tcW w:w="4140" w:type="dxa"/>
            <w:vAlign w:val="center"/>
          </w:tcPr>
          <w:p w:rsidRPr="00F474A9" w:rsidR="000E759E" w:rsidP="000E759E" w:rsidRDefault="000E759E">
            <w:pPr>
              <w:rPr>
                <w:rFonts w:ascii="Arial" w:hAnsi="Arial" w:eastAsia="Calibri" w:cs="Arial"/>
              </w:rPr>
            </w:pPr>
            <w:r w:rsidRPr="00F474A9">
              <w:rPr>
                <w:rFonts w:ascii="Arial" w:hAnsi="Arial" w:eastAsia="Calibri" w:cs="Arial"/>
              </w:rPr>
              <w:t xml:space="preserve">Radi: </w:t>
            </w:r>
            <w:r w:rsidRPr="00F474A9" w:rsidR="00535BBD">
              <w:rPr>
                <w:rFonts w:ascii="Arial" w:hAnsi="Arial" w:eastAsia="Calibri" w:cs="Arial"/>
              </w:rPr>
              <w:t>isplate</w:t>
            </w:r>
          </w:p>
        </w:tc>
      </w:tr>
    </w:tbl>
    <w:p w:rsidRPr="00F474A9" w:rsidR="000E759E" w:rsidP="000E759E" w:rsidRDefault="000E759E">
      <w:pPr>
        <w:rPr>
          <w:rFonts w:ascii="Arial" w:hAnsi="Arial" w:eastAsia="Calibri" w:cs="Arial"/>
        </w:rPr>
      </w:pPr>
    </w:p>
    <w:p w:rsidRPr="00F474A9" w:rsidR="000E759E" w:rsidP="000E759E" w:rsidRDefault="000E759E">
      <w:pPr>
        <w:rPr>
          <w:rFonts w:ascii="Arial" w:hAnsi="Arial" w:eastAsia="Calibri" w:cs="Arial"/>
        </w:rPr>
      </w:pPr>
      <w:r w:rsidRPr="00F474A9">
        <w:rPr>
          <w:rFonts w:ascii="Arial" w:hAnsi="Arial" w:eastAsia="Calibri" w:cs="Arial"/>
        </w:rPr>
        <w:t xml:space="preserve">Sudac otvara pripremno ročište u </w:t>
      </w:r>
      <w:r w:rsidR="00054C1F">
        <w:rPr>
          <w:rFonts w:ascii="Arial" w:hAnsi="Arial" w:eastAsia="Calibri" w:cs="Arial"/>
        </w:rPr>
        <w:t>11:00</w:t>
      </w:r>
      <w:r w:rsidRPr="00F474A9">
        <w:rPr>
          <w:rFonts w:ascii="Arial" w:hAnsi="Arial" w:eastAsia="Calibri" w:cs="Arial"/>
        </w:rPr>
        <w:t xml:space="preserve"> sati i objavljuje predmet raspravljanja.</w:t>
      </w:r>
    </w:p>
    <w:p w:rsidRPr="00F474A9" w:rsidR="000E759E" w:rsidP="000E759E" w:rsidRDefault="000E759E">
      <w:pPr>
        <w:rPr>
          <w:rFonts w:ascii="Arial" w:hAnsi="Arial" w:eastAsia="Calibri" w:cs="Arial"/>
        </w:rPr>
      </w:pPr>
      <w:r w:rsidRPr="00F474A9">
        <w:rPr>
          <w:rFonts w:ascii="Arial" w:hAnsi="Arial" w:eastAsia="Calibri" w:cs="Arial"/>
        </w:rPr>
        <w:t>Rasprava je javna.</w:t>
      </w:r>
    </w:p>
    <w:p w:rsidRPr="00F474A9" w:rsidR="000E759E" w:rsidP="000E759E" w:rsidRDefault="000E759E">
      <w:pPr>
        <w:rPr>
          <w:rFonts w:ascii="Arial" w:hAnsi="Arial" w:eastAsia="Calibri" w:cs="Arial"/>
        </w:rPr>
      </w:pPr>
      <w:r w:rsidRPr="00F474A9">
        <w:rPr>
          <w:rFonts w:ascii="Arial" w:hAnsi="Arial" w:eastAsia="Calibri" w:cs="Arial"/>
        </w:rPr>
        <w:t>Utvrđuje se kako su na današnje pripremno ročište pristupili:</w:t>
      </w:r>
    </w:p>
    <w:p w:rsidRPr="00F474A9" w:rsidR="000E759E" w:rsidP="000E759E" w:rsidRDefault="000E759E">
      <w:pPr>
        <w:ind w:firstLine="708"/>
        <w:rPr>
          <w:rFonts w:ascii="Arial" w:hAnsi="Arial" w:eastAsia="Calibri" w:cs="Arial"/>
        </w:rPr>
      </w:pPr>
    </w:p>
    <w:p w:rsidRPr="00F474A9" w:rsidR="000E759E" w:rsidP="000E759E" w:rsidRDefault="000E759E">
      <w:pPr>
        <w:rPr>
          <w:rFonts w:ascii="Arial" w:hAnsi="Arial" w:eastAsia="Calibri" w:cs="Arial"/>
        </w:rPr>
      </w:pPr>
      <w:r w:rsidRPr="00F474A9">
        <w:rPr>
          <w:rFonts w:ascii="Arial" w:hAnsi="Arial" w:eastAsia="Calibri" w:cs="Arial"/>
        </w:rPr>
        <w:t>Za tužitelja:</w:t>
      </w:r>
      <w:r w:rsidRPr="00F474A9" w:rsidR="00535BBD">
        <w:rPr>
          <w:rFonts w:ascii="Arial" w:hAnsi="Arial" w:eastAsia="Calibri" w:cs="Arial"/>
        </w:rPr>
        <w:t xml:space="preserve"> </w:t>
      </w:r>
      <w:r w:rsidR="00306DE3">
        <w:rPr>
          <w:rFonts w:ascii="Arial" w:hAnsi="Arial" w:eastAsia="Calibri" w:cs="Arial"/>
        </w:rPr>
        <w:t>zamjenik punomoćnika Hrvoje Milković, odvjetnik</w:t>
      </w:r>
      <w:r w:rsidR="00E2339C">
        <w:rPr>
          <w:rFonts w:ascii="Arial" w:hAnsi="Arial" w:eastAsia="Calibri" w:cs="Arial"/>
        </w:rPr>
        <w:t xml:space="preserve"> u Sisku</w:t>
      </w:r>
    </w:p>
    <w:p w:rsidRPr="00F474A9" w:rsidR="00841E6A" w:rsidP="004A7D70" w:rsidRDefault="004548C4">
      <w:pPr>
        <w:rPr>
          <w:rFonts w:ascii="Arial" w:hAnsi="Arial" w:eastAsia="Calibri" w:cs="Arial"/>
        </w:rPr>
      </w:pPr>
      <w:r>
        <w:rPr>
          <w:rFonts w:ascii="Arial" w:hAnsi="Arial" w:eastAsia="Calibri" w:cs="Arial"/>
        </w:rPr>
        <w:t xml:space="preserve">Za </w:t>
      </w:r>
      <w:r w:rsidRPr="00F474A9" w:rsidR="000E759E">
        <w:rPr>
          <w:rFonts w:ascii="Arial" w:hAnsi="Arial" w:eastAsia="Calibri" w:cs="Arial"/>
        </w:rPr>
        <w:t>tuženika:</w:t>
      </w:r>
      <w:r w:rsidR="00306DE3">
        <w:rPr>
          <w:rFonts w:ascii="Arial" w:hAnsi="Arial" w:eastAsia="Calibri" w:cs="Arial"/>
        </w:rPr>
        <w:t xml:space="preserve"> osobno Nebojša Bunčić OIB: 84051582431</w:t>
      </w:r>
    </w:p>
    <w:p w:rsidR="009F6957" w:rsidP="004A7D70" w:rsidRDefault="009F6957">
      <w:pPr>
        <w:rPr>
          <w:rFonts w:ascii="Arial" w:hAnsi="Arial" w:eastAsia="Calibri" w:cs="Arial"/>
        </w:rPr>
      </w:pPr>
    </w:p>
    <w:p w:rsidRPr="00F474A9" w:rsidR="00E2339C" w:rsidP="00E2339C" w:rsidRDefault="00E2339C">
      <w:pPr>
        <w:pStyle w:val="Bezproreda"/>
        <w:ind w:firstLine="708"/>
        <w:jc w:val="both"/>
        <w:rPr>
          <w:rFonts w:ascii="Arial" w:hAnsi="Arial" w:cs="Arial"/>
          <w:sz w:val="24"/>
          <w:szCs w:val="24"/>
        </w:rPr>
      </w:pPr>
      <w:r w:rsidRPr="00F474A9">
        <w:rPr>
          <w:rFonts w:ascii="Arial" w:hAnsi="Arial" w:cs="Arial"/>
          <w:sz w:val="24"/>
          <w:szCs w:val="24"/>
        </w:rPr>
        <w:t xml:space="preserve">Sukladno čl.288a st. 1 ZPP-a sud predlaže strankama da spor riješe u postupku mirenja pred ovim sudom, jednako kao i na mogućnost sklapanja sudske nagodbe. </w:t>
      </w:r>
    </w:p>
    <w:p w:rsidR="00E2339C" w:rsidP="004A7D70" w:rsidRDefault="00E2339C">
      <w:pPr>
        <w:rPr>
          <w:rFonts w:ascii="Arial" w:hAnsi="Arial" w:eastAsia="Calibri" w:cs="Arial"/>
        </w:rPr>
      </w:pPr>
    </w:p>
    <w:p w:rsidRPr="00F474A9" w:rsidR="00841E6A" w:rsidP="00713E4B" w:rsidRDefault="00841E6A">
      <w:pPr>
        <w:jc w:val="both"/>
        <w:rPr>
          <w:rFonts w:ascii="Arial" w:hAnsi="Arial" w:cs="Arial"/>
          <w:b/>
        </w:rPr>
      </w:pPr>
    </w:p>
    <w:p w:rsidRPr="00F474A9" w:rsidR="00841E6A" w:rsidP="00841E6A" w:rsidRDefault="00841E6A">
      <w:pPr>
        <w:tabs>
          <w:tab w:val="left" w:pos="0"/>
        </w:tabs>
        <w:overflowPunct w:val="false"/>
        <w:autoSpaceDE w:val="false"/>
        <w:autoSpaceDN w:val="false"/>
        <w:adjustRightInd w:val="false"/>
        <w:jc w:val="both"/>
        <w:textAlignment w:val="baseline"/>
        <w:rPr>
          <w:rFonts w:ascii="Arial" w:hAnsi="Arial" w:cs="Arial"/>
        </w:rPr>
      </w:pPr>
      <w:r w:rsidRPr="00F474A9">
        <w:rPr>
          <w:rFonts w:ascii="Arial" w:hAnsi="Arial" w:cs="Arial"/>
        </w:rPr>
        <w:t>Sud donosi</w:t>
      </w:r>
    </w:p>
    <w:p w:rsidRPr="00F474A9" w:rsidR="00841E6A" w:rsidP="00841E6A" w:rsidRDefault="00841E6A">
      <w:pPr>
        <w:tabs>
          <w:tab w:val="left" w:pos="4245"/>
        </w:tabs>
        <w:overflowPunct w:val="false"/>
        <w:autoSpaceDE w:val="false"/>
        <w:autoSpaceDN w:val="false"/>
        <w:adjustRightInd w:val="false"/>
        <w:ind w:firstLine="708"/>
        <w:jc w:val="both"/>
        <w:textAlignment w:val="baseline"/>
        <w:rPr>
          <w:rFonts w:ascii="Arial" w:hAnsi="Arial" w:cs="Arial"/>
        </w:rPr>
      </w:pPr>
      <w:r w:rsidRPr="00F474A9">
        <w:rPr>
          <w:rFonts w:ascii="Arial" w:hAnsi="Arial" w:cs="Arial"/>
        </w:rPr>
        <w:t xml:space="preserve">                                                         r j e š e n j e</w:t>
      </w:r>
    </w:p>
    <w:p w:rsidRPr="00F474A9" w:rsidR="00841E6A" w:rsidP="00841E6A" w:rsidRDefault="00841E6A">
      <w:pPr>
        <w:tabs>
          <w:tab w:val="left" w:pos="4245"/>
        </w:tabs>
        <w:overflowPunct w:val="false"/>
        <w:autoSpaceDE w:val="false"/>
        <w:autoSpaceDN w:val="false"/>
        <w:adjustRightInd w:val="false"/>
        <w:jc w:val="both"/>
        <w:textAlignment w:val="baseline"/>
        <w:rPr>
          <w:rFonts w:ascii="Arial" w:hAnsi="Arial" w:cs="Arial"/>
        </w:rPr>
      </w:pPr>
    </w:p>
    <w:p w:rsidRPr="00F474A9" w:rsidR="00841E6A" w:rsidP="00841E6A" w:rsidRDefault="00841E6A">
      <w:pPr>
        <w:overflowPunct w:val="false"/>
        <w:autoSpaceDE w:val="false"/>
        <w:autoSpaceDN w:val="false"/>
        <w:adjustRightInd w:val="false"/>
        <w:jc w:val="both"/>
        <w:textAlignment w:val="baseline"/>
        <w:rPr>
          <w:rFonts w:ascii="Arial" w:hAnsi="Arial" w:cs="Arial"/>
        </w:rPr>
      </w:pPr>
      <w:r w:rsidRPr="00F474A9">
        <w:rPr>
          <w:rFonts w:ascii="Arial" w:hAnsi="Arial" w:cs="Arial"/>
          <w:b/>
        </w:rPr>
        <w:tab/>
      </w:r>
      <w:r w:rsidRPr="00F474A9">
        <w:rPr>
          <w:rFonts w:ascii="Arial" w:hAnsi="Arial" w:cs="Arial"/>
        </w:rPr>
        <w:t>Otvara se prethodni postupak.</w:t>
      </w:r>
    </w:p>
    <w:p w:rsidRPr="00F474A9" w:rsidR="00841E6A" w:rsidP="00841E6A" w:rsidRDefault="00841E6A">
      <w:pPr>
        <w:overflowPunct w:val="false"/>
        <w:autoSpaceDE w:val="false"/>
        <w:autoSpaceDN w:val="false"/>
        <w:adjustRightInd w:val="false"/>
        <w:jc w:val="both"/>
        <w:textAlignment w:val="baseline"/>
        <w:rPr>
          <w:rFonts w:ascii="Arial" w:hAnsi="Arial" w:cs="Arial"/>
        </w:rPr>
      </w:pPr>
    </w:p>
    <w:p w:rsidRPr="00F474A9" w:rsidR="00841E6A" w:rsidP="00841E6A" w:rsidRDefault="00841E6A">
      <w:pPr>
        <w:overflowPunct w:val="false"/>
        <w:autoSpaceDE w:val="false"/>
        <w:autoSpaceDN w:val="false"/>
        <w:adjustRightInd w:val="false"/>
        <w:jc w:val="both"/>
        <w:textAlignment w:val="baseline"/>
        <w:rPr>
          <w:rFonts w:ascii="Arial" w:hAnsi="Arial" w:cs="Arial"/>
        </w:rPr>
      </w:pPr>
      <w:r w:rsidRPr="00F474A9">
        <w:rPr>
          <w:rFonts w:ascii="Arial" w:hAnsi="Arial" w:cs="Arial"/>
        </w:rPr>
        <w:tab/>
        <w:t>Upozoravaju se stanke da su u postupku u sporovima male vrijednosti stranke dužne najkasnije u tužbi,</w:t>
      </w:r>
      <w:r w:rsidR="007C0AF3">
        <w:rPr>
          <w:rFonts w:ascii="Arial" w:hAnsi="Arial" w:cs="Arial"/>
        </w:rPr>
        <w:t xml:space="preserve"> </w:t>
      </w:r>
      <w:r w:rsidRPr="00F474A9">
        <w:rPr>
          <w:rFonts w:ascii="Arial" w:hAnsi="Arial" w:cs="Arial"/>
        </w:rPr>
        <w:t>odnosno u odgovoru na tužbu, iznijeti sve činjenice na kojima temelje svoje zahtjeve i predložiti dokaze potrebne za utvrđivanje iznijetih činjenica. Stranke mogu na pripremnom ročištu iznositi nove činjenice i predlagati nove dokaze samo ako ih bez svoje krivnje nisu mogle iznijeti, odnosno predložiti u tužbi, odnosno odgovoru na tužbu, a nove činjenice i nove dokaze koje su stranke iznijele, odnosno predložile na pripremnom ročištu protivno članku 461.a stavku 3. Zakona o parničnom postupku sud neće uzeti u obzir.</w:t>
      </w:r>
    </w:p>
    <w:p w:rsidRPr="00F474A9" w:rsidR="00841E6A" w:rsidP="00713E4B" w:rsidRDefault="00841E6A">
      <w:pPr>
        <w:jc w:val="both"/>
        <w:rPr>
          <w:rFonts w:ascii="Arial" w:hAnsi="Arial" w:cs="Arial"/>
          <w:b/>
        </w:rPr>
      </w:pPr>
    </w:p>
    <w:p w:rsidRPr="00F474A9" w:rsidR="003578F4" w:rsidP="003578F4" w:rsidRDefault="003578F4">
      <w:pPr>
        <w:jc w:val="both"/>
        <w:rPr>
          <w:rFonts w:ascii="Arial" w:hAnsi="Arial" w:cs="Arial"/>
        </w:rPr>
      </w:pPr>
      <w:r w:rsidRPr="00F474A9">
        <w:rPr>
          <w:rFonts w:ascii="Arial" w:hAnsi="Arial" w:cs="Arial"/>
        </w:rPr>
        <w:t>Punomoćnik tužitelja ostaje kod tužbe i tužbenih navoda.</w:t>
      </w:r>
    </w:p>
    <w:p w:rsidRPr="00F474A9" w:rsidR="003578F4" w:rsidP="003578F4" w:rsidRDefault="003578F4">
      <w:pPr>
        <w:jc w:val="both"/>
        <w:rPr>
          <w:rFonts w:ascii="Arial" w:hAnsi="Arial" w:cs="Arial"/>
        </w:rPr>
      </w:pPr>
    </w:p>
    <w:p w:rsidR="00116B46" w:rsidP="003578F4" w:rsidRDefault="00116B46">
      <w:pPr>
        <w:jc w:val="both"/>
        <w:rPr>
          <w:rFonts w:ascii="Arial" w:hAnsi="Arial" w:cs="Arial"/>
        </w:rPr>
      </w:pPr>
      <w:r>
        <w:rPr>
          <w:rFonts w:ascii="Arial" w:hAnsi="Arial" w:cs="Arial"/>
        </w:rPr>
        <w:lastRenderedPageBreak/>
        <w:t>Tuženik</w:t>
      </w:r>
      <w:r w:rsidRPr="00F474A9" w:rsidR="003578F4">
        <w:rPr>
          <w:rFonts w:ascii="Arial" w:hAnsi="Arial" w:cs="Arial"/>
        </w:rPr>
        <w:t xml:space="preserve"> </w:t>
      </w:r>
      <w:r>
        <w:rPr>
          <w:rFonts w:ascii="Arial" w:hAnsi="Arial" w:cs="Arial"/>
        </w:rPr>
        <w:t>navodi kako je u velikom dijelu potraživanje po računu br. 44/100/100 podmirio te nije podmirio utuženi iznos obzirom je dio tog iznosa platio na ruke tužitelju, no nema svjedoka koji bi o istome mogli posvjedočiti. Nema dokaznih prijedloga.</w:t>
      </w:r>
    </w:p>
    <w:p w:rsidR="00116B46" w:rsidP="003578F4" w:rsidRDefault="00116B46">
      <w:pPr>
        <w:jc w:val="both"/>
        <w:rPr>
          <w:rFonts w:ascii="Arial" w:hAnsi="Arial" w:cs="Arial"/>
        </w:rPr>
      </w:pPr>
    </w:p>
    <w:p w:rsidRPr="00F474A9" w:rsidR="003578F4" w:rsidP="003578F4" w:rsidRDefault="00116B46">
      <w:pPr>
        <w:jc w:val="both"/>
        <w:rPr>
          <w:rFonts w:ascii="Arial" w:hAnsi="Arial" w:cs="Arial"/>
        </w:rPr>
      </w:pPr>
      <w:r>
        <w:rPr>
          <w:rFonts w:ascii="Arial" w:hAnsi="Arial" w:cs="Arial"/>
        </w:rPr>
        <w:t>Stranke suglasno navode kako će pokušati mirnim putem riješiti ovaj spor te će o istome obavijestiti sud.</w:t>
      </w:r>
      <w:r w:rsidRPr="00F474A9" w:rsidR="003578F4">
        <w:rPr>
          <w:rFonts w:ascii="Arial" w:hAnsi="Arial" w:cs="Arial"/>
        </w:rPr>
        <w:t xml:space="preserve"> </w:t>
      </w:r>
    </w:p>
    <w:p w:rsidR="00364CB1" w:rsidP="00364CB1" w:rsidRDefault="00364CB1">
      <w:pPr>
        <w:jc w:val="both"/>
        <w:rPr>
          <w:rFonts w:ascii="Arial" w:hAnsi="Arial" w:cs="Arial"/>
          <w:b/>
        </w:rPr>
      </w:pPr>
    </w:p>
    <w:p w:rsidRPr="00F474A9" w:rsidR="005E6E17" w:rsidP="00364CB1" w:rsidRDefault="005E6E17">
      <w:pPr>
        <w:jc w:val="both"/>
        <w:rPr>
          <w:rFonts w:ascii="Arial" w:hAnsi="Arial" w:cs="Arial"/>
        </w:rPr>
      </w:pPr>
    </w:p>
    <w:p w:rsidR="005E6E17" w:rsidP="005E6E17" w:rsidRDefault="005E6E17">
      <w:pPr>
        <w:contextualSpacing/>
        <w:jc w:val="both"/>
        <w:rPr>
          <w:rFonts w:ascii="Arial" w:hAnsi="Arial" w:cs="Arial"/>
        </w:rPr>
      </w:pPr>
      <w:r w:rsidRPr="005E6E17">
        <w:rPr>
          <w:rFonts w:ascii="Arial" w:hAnsi="Arial" w:cs="Arial"/>
        </w:rPr>
        <w:t xml:space="preserve">Punomoćnik tužitelja i </w:t>
      </w:r>
      <w:r w:rsidR="003F36D0">
        <w:rPr>
          <w:rFonts w:ascii="Arial" w:hAnsi="Arial" w:cs="Arial"/>
        </w:rPr>
        <w:t>tuženik</w:t>
      </w:r>
      <w:r w:rsidRPr="005E6E17">
        <w:rPr>
          <w:rFonts w:ascii="Arial" w:hAnsi="Arial" w:cs="Arial"/>
        </w:rPr>
        <w:t xml:space="preserve"> suglasno izjavljuju da predmetni spor </w:t>
      </w:r>
      <w:r w:rsidR="00427B45">
        <w:rPr>
          <w:rFonts w:ascii="Arial" w:hAnsi="Arial" w:cs="Arial"/>
        </w:rPr>
        <w:t>žele riješiti sudskom nagodbom,</w:t>
      </w:r>
    </w:p>
    <w:p w:rsidRPr="005E6E17" w:rsidR="00427B45" w:rsidP="005E6E17" w:rsidRDefault="00427B45">
      <w:pPr>
        <w:contextualSpacing/>
        <w:jc w:val="both"/>
        <w:rPr>
          <w:rFonts w:ascii="Arial" w:hAnsi="Arial" w:cs="Arial"/>
        </w:rPr>
      </w:pPr>
    </w:p>
    <w:p w:rsidRPr="005E6E17" w:rsidR="005E6E17" w:rsidP="005E6E17" w:rsidRDefault="005E6E17">
      <w:pPr>
        <w:contextualSpacing/>
        <w:jc w:val="both"/>
        <w:rPr>
          <w:rFonts w:ascii="Arial" w:hAnsi="Arial" w:cs="Arial"/>
        </w:rPr>
      </w:pPr>
      <w:r w:rsidRPr="005E6E17">
        <w:rPr>
          <w:rFonts w:ascii="Arial" w:hAnsi="Arial" w:cs="Arial"/>
        </w:rPr>
        <w:t>nadalje:</w:t>
      </w:r>
    </w:p>
    <w:p w:rsidR="00E04C7E" w:rsidP="00E04C7E" w:rsidRDefault="00E04C7E">
      <w:pPr>
        <w:spacing w:line="288" w:lineRule="auto"/>
        <w:jc w:val="both"/>
        <w:rPr>
          <w:rFonts w:ascii="Arial" w:hAnsi="Arial" w:eastAsia="Calibri" w:cs="Arial"/>
          <w:lang w:eastAsia="en-US"/>
        </w:rPr>
      </w:pPr>
    </w:p>
    <w:p w:rsidRPr="005E6E17" w:rsidR="005E6E17" w:rsidP="00E04C7E" w:rsidRDefault="00AA5B86">
      <w:pPr>
        <w:spacing w:line="288" w:lineRule="auto"/>
        <w:jc w:val="both"/>
        <w:rPr>
          <w:rFonts w:ascii="Arial" w:hAnsi="Arial" w:cs="Arial"/>
        </w:rPr>
      </w:pPr>
      <w:r w:rsidRPr="00AA5B86">
        <w:rPr>
          <w:rFonts w:ascii="Arial" w:hAnsi="Arial" w:cs="Arial"/>
        </w:rPr>
        <w:t xml:space="preserve">SKELA BANOVINA d.o.o., OIB 06123730554, Ajdovščinska 44, Petrinja </w:t>
      </w:r>
      <w:r w:rsidRPr="005E6E17" w:rsidR="005E6E17">
        <w:rPr>
          <w:rFonts w:ascii="Arial" w:hAnsi="Arial" w:cs="Arial"/>
        </w:rPr>
        <w:t>kao tužitelj s jedne strane (dalje: Tužitelj)</w:t>
      </w:r>
      <w:r w:rsidR="00E04C7E">
        <w:rPr>
          <w:rFonts w:ascii="Arial" w:hAnsi="Arial" w:cs="Arial"/>
        </w:rPr>
        <w:t xml:space="preserve"> i </w:t>
      </w:r>
      <w:r w:rsidRPr="00E04C7E" w:rsidR="00E04C7E">
        <w:t xml:space="preserve"> </w:t>
      </w:r>
      <w:r w:rsidRPr="00E04C7E" w:rsidR="00E04C7E">
        <w:rPr>
          <w:rFonts w:ascii="Arial" w:hAnsi="Arial" w:cs="Arial"/>
        </w:rPr>
        <w:t>Nebojša Bunčić u ime OPG Bunčić, OIB 84051582431, Veliki Šušnjar 3, Veliki Šušnjar</w:t>
      </w:r>
      <w:r w:rsidR="00E04C7E">
        <w:rPr>
          <w:rFonts w:ascii="Arial" w:hAnsi="Arial" w:cs="Arial"/>
        </w:rPr>
        <w:t xml:space="preserve">, </w:t>
      </w:r>
      <w:r w:rsidRPr="005E6E17" w:rsidR="005E6E17">
        <w:rPr>
          <w:rFonts w:ascii="Arial" w:hAnsi="Arial" w:cs="Arial"/>
        </w:rPr>
        <w:t>kao tuženik s druge strane (dalje: Tuženi)</w:t>
      </w:r>
    </w:p>
    <w:p w:rsidRPr="005E6E17" w:rsidR="005E6E17" w:rsidP="005E6E17" w:rsidRDefault="005E6E17">
      <w:pPr>
        <w:spacing w:line="288" w:lineRule="auto"/>
        <w:jc w:val="both"/>
        <w:rPr>
          <w:rFonts w:ascii="Arial" w:hAnsi="Arial" w:cs="Arial"/>
        </w:rPr>
      </w:pPr>
    </w:p>
    <w:p w:rsidRPr="005E6E17" w:rsidR="005E6E17" w:rsidP="005E6E17" w:rsidRDefault="005E6E17">
      <w:pPr>
        <w:spacing w:line="288" w:lineRule="auto"/>
        <w:jc w:val="both"/>
        <w:rPr>
          <w:rFonts w:ascii="Arial" w:hAnsi="Arial" w:cs="Arial"/>
        </w:rPr>
      </w:pPr>
      <w:r w:rsidRPr="005E6E17">
        <w:rPr>
          <w:rFonts w:ascii="Arial" w:hAnsi="Arial" w:cs="Arial"/>
        </w:rPr>
        <w:t>u predmet posl.br. Povrv-</w:t>
      </w:r>
      <w:r w:rsidR="00E04C7E">
        <w:rPr>
          <w:rFonts w:ascii="Arial" w:hAnsi="Arial" w:cs="Arial"/>
        </w:rPr>
        <w:t>1191</w:t>
      </w:r>
      <w:r w:rsidRPr="005E6E17">
        <w:rPr>
          <w:rFonts w:ascii="Arial" w:hAnsi="Arial" w:cs="Arial"/>
        </w:rPr>
        <w:t>/2024, sklapaju sljedeću</w:t>
      </w:r>
    </w:p>
    <w:p w:rsidRPr="005E6E17" w:rsidR="005E6E17" w:rsidP="005E6E17" w:rsidRDefault="005E6E17">
      <w:pPr>
        <w:spacing w:line="288" w:lineRule="auto"/>
        <w:jc w:val="both"/>
        <w:rPr>
          <w:rFonts w:ascii="Arial" w:hAnsi="Arial" w:cs="Arial"/>
        </w:rPr>
      </w:pPr>
    </w:p>
    <w:p w:rsidRPr="005E6E17" w:rsidR="005E6E17" w:rsidP="005E6E17" w:rsidRDefault="005E6E17">
      <w:pPr>
        <w:spacing w:line="288" w:lineRule="auto"/>
        <w:jc w:val="both"/>
        <w:rPr>
          <w:rFonts w:ascii="Arial" w:hAnsi="Arial" w:cs="Arial"/>
          <w:b/>
        </w:rPr>
      </w:pPr>
      <w:r w:rsidRPr="005E6E17">
        <w:rPr>
          <w:rFonts w:ascii="Arial" w:hAnsi="Arial" w:cs="Arial"/>
          <w:b/>
        </w:rPr>
        <w:t>SUDSKU NAGODBU</w:t>
      </w:r>
    </w:p>
    <w:p w:rsidRPr="005E6E17" w:rsidR="005E6E17" w:rsidP="005E6E17" w:rsidRDefault="005E6E17">
      <w:pPr>
        <w:spacing w:line="288" w:lineRule="auto"/>
        <w:jc w:val="both"/>
        <w:rPr>
          <w:rFonts w:ascii="Arial" w:hAnsi="Arial" w:cs="Arial"/>
        </w:rPr>
      </w:pPr>
    </w:p>
    <w:p w:rsidRPr="005E6E17" w:rsidR="005E6E17" w:rsidP="005E6E17" w:rsidRDefault="005E6E17">
      <w:pPr>
        <w:spacing w:after="120" w:line="288" w:lineRule="auto"/>
        <w:jc w:val="both"/>
        <w:rPr>
          <w:rFonts w:ascii="Arial" w:hAnsi="Arial" w:cs="Arial"/>
          <w:b/>
        </w:rPr>
      </w:pPr>
      <w:r w:rsidRPr="005E6E17">
        <w:rPr>
          <w:rFonts w:ascii="Arial" w:hAnsi="Arial" w:cs="Arial"/>
          <w:b/>
        </w:rPr>
        <w:t>Članak 1.</w:t>
      </w:r>
    </w:p>
    <w:p w:rsidRPr="005E6E17" w:rsidR="005E6E17" w:rsidP="005E6E17" w:rsidRDefault="005E6E17">
      <w:pPr>
        <w:spacing w:line="288" w:lineRule="auto"/>
        <w:jc w:val="both"/>
        <w:rPr>
          <w:rFonts w:ascii="Arial" w:hAnsi="Arial" w:cs="Arial"/>
        </w:rPr>
      </w:pPr>
      <w:r w:rsidRPr="005E6E17">
        <w:rPr>
          <w:rFonts w:ascii="Arial" w:hAnsi="Arial" w:cs="Arial"/>
        </w:rPr>
        <w:t>Tužitelj i tuženik suglasno utvrđuju da sklapanju ove sudske nagodbe pristupaju s ciljem mirnog rješenja spora koji se po prijedlogu za ovrhu sada tužbi tužitelja vodi pred Trgovačkim sud</w:t>
      </w:r>
      <w:r w:rsidR="00E04C7E">
        <w:rPr>
          <w:rFonts w:ascii="Arial" w:hAnsi="Arial" w:cs="Arial"/>
        </w:rPr>
        <w:t>om u Zagrebu, posl.br. Povrv-1191</w:t>
      </w:r>
      <w:r w:rsidRPr="005E6E17">
        <w:rPr>
          <w:rFonts w:ascii="Arial" w:hAnsi="Arial" w:cs="Arial"/>
        </w:rPr>
        <w:t xml:space="preserve">/2024, a oboje sa zajedničkom intencijom da se sva potraživanja između stranaka, proizašla </w:t>
      </w:r>
      <w:r w:rsidR="00D31C18">
        <w:rPr>
          <w:rFonts w:ascii="Arial" w:hAnsi="Arial" w:cs="Arial"/>
        </w:rPr>
        <w:t>po računu br. 44/100/100 od 14. prosinca 2021.</w:t>
      </w:r>
      <w:r w:rsidRPr="005E6E17">
        <w:rPr>
          <w:rFonts w:ascii="Arial" w:hAnsi="Arial" w:cs="Arial"/>
        </w:rPr>
        <w:t>, između istih razriješe zaključenjem ove sudske nagodbe.</w:t>
      </w:r>
    </w:p>
    <w:p w:rsidRPr="005E6E17" w:rsidR="005E6E17" w:rsidP="005E6E17" w:rsidRDefault="005E6E17">
      <w:pPr>
        <w:spacing w:after="120" w:line="288" w:lineRule="auto"/>
        <w:jc w:val="both"/>
        <w:rPr>
          <w:rFonts w:ascii="Arial" w:hAnsi="Arial" w:cs="Arial"/>
          <w:b/>
        </w:rPr>
      </w:pPr>
    </w:p>
    <w:p w:rsidRPr="005E6E17" w:rsidR="005E6E17" w:rsidP="005E6E17" w:rsidRDefault="005E6E17">
      <w:pPr>
        <w:spacing w:after="120" w:line="288" w:lineRule="auto"/>
        <w:jc w:val="both"/>
        <w:rPr>
          <w:rFonts w:ascii="Arial" w:hAnsi="Arial" w:cs="Arial"/>
        </w:rPr>
      </w:pPr>
      <w:r w:rsidRPr="005E6E17">
        <w:rPr>
          <w:rFonts w:ascii="Arial" w:hAnsi="Arial" w:cs="Arial"/>
          <w:b/>
        </w:rPr>
        <w:t>Članak 2.</w:t>
      </w:r>
    </w:p>
    <w:p w:rsidRPr="0012192E" w:rsidR="005E6E17" w:rsidP="00530B66" w:rsidRDefault="005E6E17">
      <w:pPr>
        <w:spacing w:line="288" w:lineRule="auto"/>
        <w:jc w:val="both"/>
        <w:rPr>
          <w:rFonts w:ascii="Arial" w:hAnsi="Arial" w:cs="Arial"/>
        </w:rPr>
      </w:pPr>
      <w:r w:rsidRPr="005E6E17">
        <w:rPr>
          <w:rFonts w:ascii="Arial" w:hAnsi="Arial" w:cs="Arial"/>
        </w:rPr>
        <w:t>(1)</w:t>
      </w:r>
      <w:r w:rsidRPr="005E6E17">
        <w:rPr>
          <w:rFonts w:ascii="Arial" w:hAnsi="Arial" w:cs="Arial"/>
        </w:rPr>
        <w:tab/>
        <w:t xml:space="preserve">Tužitelj i tuženik suglasno utvrđuju da je tužitelj ranije ovrhovoditelj podnio prijedlog za ovrhu općenito na imovini ovršenika sada tuženika, slijedom čega je javna bilježnica </w:t>
      </w:r>
      <w:r w:rsidR="00B55C3A">
        <w:rPr>
          <w:rFonts w:ascii="Arial" w:hAnsi="Arial" w:cs="Arial"/>
        </w:rPr>
        <w:t>Belma Benko</w:t>
      </w:r>
      <w:r w:rsidRPr="005E6E17">
        <w:rPr>
          <w:rFonts w:ascii="Arial" w:hAnsi="Arial" w:cs="Arial"/>
        </w:rPr>
        <w:t xml:space="preserve">, </w:t>
      </w:r>
      <w:r w:rsidR="00B55C3A">
        <w:rPr>
          <w:rFonts w:ascii="Arial" w:hAnsi="Arial" w:cs="Arial"/>
        </w:rPr>
        <w:t>Hrvatska Kostajnica</w:t>
      </w:r>
      <w:r w:rsidRPr="005E6E17">
        <w:rPr>
          <w:rFonts w:ascii="Arial" w:hAnsi="Arial" w:cs="Arial"/>
        </w:rPr>
        <w:t>, donijela rješenje o ovrsi, posl. br. Ovrv-</w:t>
      </w:r>
      <w:r w:rsidR="00B55C3A">
        <w:rPr>
          <w:rFonts w:ascii="Arial" w:hAnsi="Arial" w:cs="Arial"/>
        </w:rPr>
        <w:t>4267/23 (UPP/OS-Ovrv-532/2023</w:t>
      </w:r>
      <w:r w:rsidRPr="005E6E17">
        <w:rPr>
          <w:rFonts w:ascii="Arial" w:hAnsi="Arial" w:cs="Arial"/>
        </w:rPr>
        <w:t xml:space="preserve">) od </w:t>
      </w:r>
      <w:r w:rsidR="00B55C3A">
        <w:rPr>
          <w:rFonts w:ascii="Arial" w:hAnsi="Arial" w:cs="Arial"/>
        </w:rPr>
        <w:t>10. kolovoza 2023</w:t>
      </w:r>
      <w:r w:rsidRPr="005E6E17">
        <w:rPr>
          <w:rFonts w:ascii="Arial" w:hAnsi="Arial" w:cs="Arial"/>
        </w:rPr>
        <w:t>. kojim je naloženo ovršeniku sada tuženiku, da ovrhovoditelju sada tužitelju na temelju</w:t>
      </w:r>
      <w:r w:rsidR="00C715A4">
        <w:rPr>
          <w:rFonts w:ascii="Arial" w:hAnsi="Arial" w:cs="Arial"/>
        </w:rPr>
        <w:t xml:space="preserve"> vjerodostojne isprave, računa br. 44/100/100</w:t>
      </w:r>
      <w:r w:rsidRPr="005E6E17">
        <w:rPr>
          <w:rFonts w:ascii="Arial" w:hAnsi="Arial" w:cs="Arial"/>
        </w:rPr>
        <w:t xml:space="preserve">, namiri tražbinu u iznosu od </w:t>
      </w:r>
      <w:r w:rsidR="00C715A4">
        <w:rPr>
          <w:rFonts w:ascii="Arial" w:hAnsi="Arial" w:cs="Arial"/>
          <w:b/>
          <w:bCs/>
        </w:rPr>
        <w:t>1.924,48</w:t>
      </w:r>
      <w:r w:rsidRPr="005E6E17">
        <w:rPr>
          <w:rFonts w:ascii="Arial" w:hAnsi="Arial" w:cs="Arial"/>
          <w:b/>
          <w:bCs/>
        </w:rPr>
        <w:t xml:space="preserve"> EUR</w:t>
      </w:r>
      <w:r w:rsidRPr="005E6E17">
        <w:rPr>
          <w:rFonts w:ascii="Arial" w:hAnsi="Arial" w:cs="Arial"/>
        </w:rPr>
        <w:t xml:space="preserve"> uvećanu za zakonske zatezne kamate koje teku od </w:t>
      </w:r>
      <w:r w:rsidR="00C715A4">
        <w:rPr>
          <w:rFonts w:ascii="Arial" w:hAnsi="Arial" w:cs="Arial"/>
        </w:rPr>
        <w:t>17. prosinca 2021</w:t>
      </w:r>
      <w:r w:rsidRPr="005E6E17">
        <w:rPr>
          <w:rFonts w:ascii="Arial" w:hAnsi="Arial" w:cs="Arial"/>
        </w:rPr>
        <w:t xml:space="preserve">. pa do isplate </w:t>
      </w:r>
      <w:r w:rsidR="00530B66">
        <w:rPr>
          <w:rFonts w:ascii="Arial" w:hAnsi="Arial" w:cs="Arial"/>
        </w:rPr>
        <w:t>z</w:t>
      </w:r>
      <w:r w:rsidRPr="005E6E17">
        <w:rPr>
          <w:rFonts w:ascii="Arial" w:hAnsi="Arial" w:cs="Arial"/>
        </w:rPr>
        <w:t xml:space="preserve">ajedno s odmjerenim troškovima postupka u iznosu od </w:t>
      </w:r>
      <w:r w:rsidR="00530B66">
        <w:rPr>
          <w:rFonts w:ascii="Arial" w:hAnsi="Arial" w:cs="Arial"/>
          <w:b/>
          <w:bCs/>
        </w:rPr>
        <w:t>273,75</w:t>
      </w:r>
      <w:r w:rsidRPr="005E6E17">
        <w:rPr>
          <w:rFonts w:ascii="Arial" w:hAnsi="Arial" w:cs="Arial"/>
          <w:b/>
          <w:bCs/>
        </w:rPr>
        <w:t xml:space="preserve"> EUR</w:t>
      </w:r>
      <w:r w:rsidRPr="005E6E17">
        <w:rPr>
          <w:rFonts w:ascii="Arial" w:hAnsi="Arial" w:cs="Arial"/>
        </w:rPr>
        <w:t xml:space="preserve"> uvećanim za zakonske zatezne kamate koje teku od dana donošenja rješenja o ovrsi pa do isplate</w:t>
      </w:r>
      <w:r w:rsidR="00530B66">
        <w:rPr>
          <w:rFonts w:ascii="Arial" w:hAnsi="Arial" w:cs="Arial"/>
        </w:rPr>
        <w:t>.</w:t>
      </w:r>
      <w:r w:rsidRPr="005E6E17">
        <w:rPr>
          <w:rFonts w:ascii="Arial" w:hAnsi="Arial" w:cs="Arial"/>
        </w:rPr>
        <w:t xml:space="preserve"> </w:t>
      </w:r>
    </w:p>
    <w:p w:rsidRPr="005E6E17" w:rsidR="005E6E17" w:rsidP="005E6E17" w:rsidRDefault="005E6E17">
      <w:pPr>
        <w:spacing w:line="288" w:lineRule="auto"/>
        <w:jc w:val="both"/>
        <w:rPr>
          <w:rFonts w:ascii="Arial" w:hAnsi="Arial" w:cs="Arial"/>
          <w:lang w:val="en-US"/>
        </w:rPr>
      </w:pPr>
    </w:p>
    <w:p w:rsidRPr="005E6E17" w:rsidR="005E6E17" w:rsidP="005E6E17" w:rsidRDefault="00530B66">
      <w:pPr>
        <w:spacing w:line="288" w:lineRule="auto"/>
        <w:jc w:val="both"/>
        <w:rPr>
          <w:rFonts w:ascii="Arial" w:hAnsi="Arial" w:cs="Arial"/>
        </w:rPr>
      </w:pPr>
      <w:r>
        <w:rPr>
          <w:rFonts w:ascii="Arial" w:hAnsi="Arial" w:cs="Arial"/>
        </w:rPr>
        <w:lastRenderedPageBreak/>
        <w:t>(2</w:t>
      </w:r>
      <w:r w:rsidRPr="005E6E17" w:rsidR="005E6E17">
        <w:rPr>
          <w:rFonts w:ascii="Arial" w:hAnsi="Arial" w:cs="Arial"/>
        </w:rPr>
        <w:t>)</w:t>
      </w:r>
      <w:r w:rsidRPr="005E6E17" w:rsidR="005E6E17">
        <w:rPr>
          <w:rFonts w:ascii="Arial" w:hAnsi="Arial" w:cs="Arial"/>
        </w:rPr>
        <w:tab/>
        <w:t>Stranke suglasno utvrđuju da su u povodu i tijeku postupka iz čl.1. ove nagodbe nastali troškovi i to:</w:t>
      </w:r>
    </w:p>
    <w:p w:rsidRPr="005E6E17" w:rsidR="005E6E17" w:rsidP="005E6E17" w:rsidRDefault="005E6E17">
      <w:pPr>
        <w:spacing w:line="288" w:lineRule="auto"/>
        <w:jc w:val="both"/>
        <w:rPr>
          <w:rFonts w:ascii="Arial" w:hAnsi="Arial" w:cs="Arial"/>
        </w:rPr>
      </w:pPr>
      <w:r w:rsidRPr="005E6E17">
        <w:rPr>
          <w:rFonts w:ascii="Arial" w:hAnsi="Arial" w:cs="Arial"/>
        </w:rPr>
        <w:t xml:space="preserve">- trošak </w:t>
      </w:r>
      <w:r w:rsidR="00511521">
        <w:rPr>
          <w:rFonts w:ascii="Arial" w:hAnsi="Arial" w:cs="Arial"/>
        </w:rPr>
        <w:t>pristupa na ročište od 20. ožujka 2025. u ukupnom iznosu od 250,00</w:t>
      </w:r>
      <w:r w:rsidRPr="005E6E17">
        <w:rPr>
          <w:rFonts w:ascii="Arial" w:hAnsi="Arial" w:cs="Arial"/>
        </w:rPr>
        <w:t xml:space="preserve"> eur</w:t>
      </w:r>
      <w:r w:rsidR="00AB0D6B">
        <w:rPr>
          <w:rFonts w:ascii="Arial" w:hAnsi="Arial" w:cs="Arial"/>
        </w:rPr>
        <w:t xml:space="preserve"> te trošak određen</w:t>
      </w:r>
      <w:r w:rsidR="00E57648">
        <w:rPr>
          <w:rFonts w:ascii="Arial" w:hAnsi="Arial" w:cs="Arial"/>
        </w:rPr>
        <w:t xml:space="preserve"> Rješenjem o ovrsi </w:t>
      </w:r>
      <w:r w:rsidR="00AB0D6B">
        <w:rPr>
          <w:rFonts w:ascii="Arial" w:hAnsi="Arial" w:cs="Arial"/>
        </w:rPr>
        <w:t xml:space="preserve">posl.br Ovrv-532/2023 od 10. kolovoza 2023., </w:t>
      </w:r>
      <w:r w:rsidR="00E57648">
        <w:rPr>
          <w:rFonts w:ascii="Arial" w:hAnsi="Arial" w:cs="Arial"/>
        </w:rPr>
        <w:t>u iznosu od 273,75 eur.</w:t>
      </w:r>
      <w:r w:rsidRPr="005E6E17">
        <w:rPr>
          <w:rFonts w:ascii="Arial" w:hAnsi="Arial" w:cs="Arial"/>
        </w:rPr>
        <w:t xml:space="preserve"> </w:t>
      </w:r>
    </w:p>
    <w:p w:rsidRPr="005E6E17" w:rsidR="005E6E17" w:rsidP="005E6E17" w:rsidRDefault="005E6E17">
      <w:pPr>
        <w:spacing w:line="288" w:lineRule="auto"/>
        <w:jc w:val="both"/>
        <w:rPr>
          <w:rFonts w:ascii="Arial" w:hAnsi="Arial" w:cs="Arial"/>
        </w:rPr>
      </w:pPr>
    </w:p>
    <w:p w:rsidRPr="005E6E17" w:rsidR="005E6E17" w:rsidP="005E6E17" w:rsidRDefault="005E6E17">
      <w:pPr>
        <w:spacing w:line="288" w:lineRule="auto"/>
        <w:jc w:val="both"/>
        <w:rPr>
          <w:rFonts w:ascii="Arial" w:hAnsi="Arial" w:cs="Arial"/>
          <w:b/>
          <w:bCs/>
        </w:rPr>
      </w:pPr>
      <w:r w:rsidRPr="005E6E17">
        <w:rPr>
          <w:rFonts w:ascii="Arial" w:hAnsi="Arial" w:cs="Arial"/>
          <w:b/>
          <w:bCs/>
        </w:rPr>
        <w:t>Članak 3.</w:t>
      </w:r>
    </w:p>
    <w:p w:rsidRPr="005E6E17" w:rsidR="005E6E17" w:rsidP="005E6E17" w:rsidRDefault="005E6E17">
      <w:pPr>
        <w:spacing w:line="288" w:lineRule="auto"/>
        <w:jc w:val="both"/>
        <w:rPr>
          <w:rFonts w:ascii="Arial" w:hAnsi="Arial" w:cs="Arial"/>
        </w:rPr>
      </w:pPr>
    </w:p>
    <w:p w:rsidRPr="005E6E17" w:rsidR="005E6E17" w:rsidP="005E6E17" w:rsidRDefault="005E6E17">
      <w:pPr>
        <w:spacing w:line="288" w:lineRule="auto"/>
        <w:jc w:val="both"/>
        <w:rPr>
          <w:rFonts w:ascii="Arial" w:hAnsi="Arial" w:cs="Arial"/>
        </w:rPr>
      </w:pPr>
      <w:r w:rsidRPr="005E6E17">
        <w:rPr>
          <w:rFonts w:ascii="Arial" w:hAnsi="Arial" w:cs="Arial"/>
        </w:rPr>
        <w:t>(1)</w:t>
      </w:r>
      <w:r w:rsidRPr="005E6E17">
        <w:rPr>
          <w:rFonts w:ascii="Arial" w:hAnsi="Arial" w:cs="Arial"/>
        </w:rPr>
        <w:tab/>
        <w:t xml:space="preserve">Stranke suglasno utvrđuju da su postupak iz članka 1. </w:t>
      </w:r>
      <w:r w:rsidR="00AB0D6B">
        <w:rPr>
          <w:rFonts w:ascii="Arial" w:hAnsi="Arial" w:cs="Arial"/>
        </w:rPr>
        <w:t xml:space="preserve">i 2. </w:t>
      </w:r>
      <w:r w:rsidRPr="005E6E17">
        <w:rPr>
          <w:rFonts w:ascii="Arial" w:hAnsi="Arial" w:cs="Arial"/>
        </w:rPr>
        <w:t>ove nagodbe voljne riješiti sporazumno na način da se tuženik</w:t>
      </w:r>
      <w:r w:rsidR="00EF3C93">
        <w:rPr>
          <w:rFonts w:ascii="Arial" w:hAnsi="Arial" w:cs="Arial"/>
        </w:rPr>
        <w:t xml:space="preserve"> </w:t>
      </w:r>
      <w:r w:rsidRPr="00EF3C93" w:rsidR="00EF3C93">
        <w:rPr>
          <w:rFonts w:ascii="Arial" w:hAnsi="Arial" w:cs="Arial"/>
        </w:rPr>
        <w:t>Nebojša Bunčić u ime OPG Bunčić, OIB 84051582431, Veliki Šušnjar 3, Veliki Šušnjar</w:t>
      </w:r>
      <w:r w:rsidRPr="005E6E17">
        <w:rPr>
          <w:rFonts w:ascii="Arial" w:hAnsi="Arial" w:cs="Arial"/>
        </w:rPr>
        <w:t xml:space="preserve">, obvezuje platiti tužitelju </w:t>
      </w:r>
      <w:r w:rsidRPr="00EF3C93" w:rsidR="00EF3C93">
        <w:rPr>
          <w:rFonts w:ascii="Arial" w:hAnsi="Arial" w:cs="Arial"/>
        </w:rPr>
        <w:t>SKELA BANOVINA d.o.o., OIB 06123730554, Ajdovščinska 44, Petrinja</w:t>
      </w:r>
      <w:r w:rsidRPr="005E6E17" w:rsidR="00EF3C93">
        <w:rPr>
          <w:rFonts w:ascii="Arial" w:hAnsi="Arial" w:cs="Arial"/>
        </w:rPr>
        <w:t xml:space="preserve"> </w:t>
      </w:r>
      <w:r w:rsidR="00EF3C93">
        <w:rPr>
          <w:rFonts w:ascii="Arial" w:hAnsi="Arial" w:cs="Arial"/>
        </w:rPr>
        <w:t xml:space="preserve"> </w:t>
      </w:r>
      <w:r w:rsidRPr="005E6E17">
        <w:rPr>
          <w:rFonts w:ascii="Arial" w:hAnsi="Arial" w:cs="Arial"/>
        </w:rPr>
        <w:t xml:space="preserve">-na ime glavnice </w:t>
      </w:r>
      <w:r w:rsidR="00EF3C93">
        <w:rPr>
          <w:rFonts w:ascii="Arial" w:hAnsi="Arial" w:cs="Arial"/>
        </w:rPr>
        <w:t xml:space="preserve">te ukupnih troškova postupka </w:t>
      </w:r>
      <w:r w:rsidRPr="005E6E17">
        <w:rPr>
          <w:rFonts w:ascii="Arial" w:hAnsi="Arial" w:cs="Arial"/>
        </w:rPr>
        <w:t xml:space="preserve">iznos od </w:t>
      </w:r>
      <w:r w:rsidR="00EF3C93">
        <w:rPr>
          <w:rFonts w:ascii="Arial" w:hAnsi="Arial" w:cs="Arial"/>
          <w:b/>
          <w:bCs/>
        </w:rPr>
        <w:t>2.448,23</w:t>
      </w:r>
      <w:r w:rsidRPr="005E6E17">
        <w:rPr>
          <w:rFonts w:ascii="Arial" w:hAnsi="Arial" w:cs="Arial"/>
          <w:b/>
          <w:bCs/>
        </w:rPr>
        <w:t xml:space="preserve"> EUR</w:t>
      </w:r>
      <w:r w:rsidR="00880F90">
        <w:rPr>
          <w:rFonts w:ascii="Arial" w:hAnsi="Arial" w:cs="Arial"/>
        </w:rPr>
        <w:t>,</w:t>
      </w:r>
      <w:r w:rsidRPr="005E6E17">
        <w:rPr>
          <w:rFonts w:ascii="Arial" w:hAnsi="Arial" w:cs="Arial"/>
        </w:rPr>
        <w:t xml:space="preserve"> </w:t>
      </w:r>
    </w:p>
    <w:p w:rsidRPr="005E6E17" w:rsidR="005E6E17" w:rsidP="005E6E17" w:rsidRDefault="005E6E17">
      <w:pPr>
        <w:spacing w:line="288" w:lineRule="auto"/>
        <w:jc w:val="both"/>
        <w:rPr>
          <w:rFonts w:ascii="Arial" w:hAnsi="Arial" w:cs="Arial"/>
        </w:rPr>
      </w:pPr>
    </w:p>
    <w:p w:rsidRPr="00EC76DB" w:rsidR="005E6E17" w:rsidP="005E6E17" w:rsidRDefault="005E6E17">
      <w:pPr>
        <w:spacing w:line="288" w:lineRule="auto"/>
        <w:jc w:val="both"/>
        <w:rPr>
          <w:rFonts w:ascii="Arial" w:hAnsi="Arial" w:cs="Arial"/>
        </w:rPr>
      </w:pPr>
      <w:r w:rsidRPr="005E6E17">
        <w:rPr>
          <w:rFonts w:ascii="Arial" w:hAnsi="Arial" w:cs="Arial"/>
        </w:rPr>
        <w:t>(2)</w:t>
      </w:r>
      <w:r w:rsidRPr="005E6E17">
        <w:rPr>
          <w:rFonts w:ascii="Arial" w:hAnsi="Arial" w:cs="Arial"/>
        </w:rPr>
        <w:tab/>
        <w:t>Stranke suglasno utvrđuju da će se iznosi iz prethodne točke ovog članka isplatiti na sljede</w:t>
      </w:r>
      <w:r w:rsidR="00EC76DB">
        <w:rPr>
          <w:rFonts w:ascii="Arial" w:hAnsi="Arial" w:cs="Arial"/>
        </w:rPr>
        <w:t xml:space="preserve">ći način i u sljedećim rokovima </w:t>
      </w:r>
      <w:r w:rsidRPr="005E6E17">
        <w:rPr>
          <w:rFonts w:ascii="Arial" w:hAnsi="Arial" w:cs="Arial"/>
          <w:bCs/>
        </w:rPr>
        <w:t>i to u pojedinačnim iznosima/ratama kako slijedi:</w:t>
      </w:r>
    </w:p>
    <w:p w:rsidRPr="005E6E17" w:rsidR="005E6E17" w:rsidP="005E6E17" w:rsidRDefault="005E6E17">
      <w:pPr>
        <w:pStyle w:val="Odlomakpopisa"/>
        <w:jc w:val="both"/>
        <w:rPr>
          <w:rFonts w:cs="Arial"/>
          <w:bCs/>
          <w:szCs w:val="24"/>
        </w:rPr>
      </w:pPr>
    </w:p>
    <w:p w:rsidRPr="005E6E17" w:rsidR="005E6E17" w:rsidP="005E6E17" w:rsidRDefault="005E6E17">
      <w:pPr>
        <w:pStyle w:val="Odlomakpopisa"/>
        <w:spacing w:line="288" w:lineRule="auto"/>
        <w:ind w:left="499"/>
        <w:jc w:val="both"/>
        <w:rPr>
          <w:rFonts w:cs="Arial"/>
          <w:bCs/>
          <w:szCs w:val="24"/>
        </w:rPr>
      </w:pPr>
      <w:r w:rsidRPr="005E6E17">
        <w:rPr>
          <w:rFonts w:cs="Arial"/>
          <w:bCs/>
          <w:szCs w:val="24"/>
        </w:rPr>
        <w:t xml:space="preserve">-iznos od </w:t>
      </w:r>
      <w:r w:rsidR="00EC76DB">
        <w:rPr>
          <w:rFonts w:cs="Arial"/>
          <w:bCs/>
          <w:szCs w:val="24"/>
        </w:rPr>
        <w:t>612,06</w:t>
      </w:r>
      <w:r w:rsidRPr="005E6E17">
        <w:rPr>
          <w:rFonts w:cs="Arial"/>
          <w:bCs/>
          <w:szCs w:val="24"/>
        </w:rPr>
        <w:t xml:space="preserve"> eura do </w:t>
      </w:r>
      <w:r w:rsidR="00EC76DB">
        <w:rPr>
          <w:rFonts w:cs="Arial"/>
          <w:bCs/>
          <w:szCs w:val="24"/>
        </w:rPr>
        <w:t>1. travnja 2025</w:t>
      </w:r>
      <w:r w:rsidRPr="005E6E17">
        <w:rPr>
          <w:rFonts w:cs="Arial"/>
          <w:bCs/>
          <w:szCs w:val="24"/>
        </w:rPr>
        <w:t>.</w:t>
      </w:r>
    </w:p>
    <w:p w:rsidRPr="005E6E17" w:rsidR="005E6E17" w:rsidP="005E6E17" w:rsidRDefault="005E6E17">
      <w:pPr>
        <w:pStyle w:val="Odlomakpopisa"/>
        <w:spacing w:line="288" w:lineRule="auto"/>
        <w:ind w:left="499"/>
        <w:jc w:val="both"/>
        <w:rPr>
          <w:rFonts w:cs="Arial"/>
          <w:bCs/>
          <w:szCs w:val="24"/>
        </w:rPr>
      </w:pPr>
      <w:r w:rsidRPr="005E6E17">
        <w:rPr>
          <w:rFonts w:cs="Arial"/>
          <w:bCs/>
          <w:szCs w:val="24"/>
        </w:rPr>
        <w:t xml:space="preserve">-iznos od </w:t>
      </w:r>
      <w:r w:rsidR="00EC76DB">
        <w:rPr>
          <w:rFonts w:cs="Arial"/>
          <w:bCs/>
          <w:szCs w:val="24"/>
        </w:rPr>
        <w:t>612,06</w:t>
      </w:r>
      <w:r w:rsidRPr="005E6E17">
        <w:rPr>
          <w:rFonts w:cs="Arial"/>
          <w:bCs/>
          <w:szCs w:val="24"/>
        </w:rPr>
        <w:t xml:space="preserve"> eura do </w:t>
      </w:r>
      <w:r w:rsidR="00EC76DB">
        <w:rPr>
          <w:rFonts w:cs="Arial"/>
          <w:bCs/>
          <w:szCs w:val="24"/>
        </w:rPr>
        <w:t>1. svibnja 2025</w:t>
      </w:r>
      <w:r w:rsidRPr="005E6E17">
        <w:rPr>
          <w:rFonts w:cs="Arial"/>
          <w:bCs/>
          <w:szCs w:val="24"/>
        </w:rPr>
        <w:t>.</w:t>
      </w:r>
    </w:p>
    <w:p w:rsidR="005E6E17" w:rsidP="005E6E17" w:rsidRDefault="005E6E17">
      <w:pPr>
        <w:pStyle w:val="Odlomakpopisa"/>
        <w:spacing w:line="288" w:lineRule="auto"/>
        <w:ind w:left="499"/>
        <w:jc w:val="both"/>
        <w:rPr>
          <w:rFonts w:cs="Arial"/>
          <w:bCs/>
          <w:szCs w:val="24"/>
        </w:rPr>
      </w:pPr>
      <w:r w:rsidRPr="005E6E17">
        <w:rPr>
          <w:rFonts w:cs="Arial"/>
          <w:bCs/>
          <w:szCs w:val="24"/>
        </w:rPr>
        <w:t xml:space="preserve">-iznos od </w:t>
      </w:r>
      <w:r w:rsidR="00EC76DB">
        <w:rPr>
          <w:rFonts w:cs="Arial"/>
          <w:bCs/>
          <w:szCs w:val="24"/>
        </w:rPr>
        <w:t>612,06 eura do 1. lipnja 2025.</w:t>
      </w:r>
    </w:p>
    <w:p w:rsidRPr="005E6E17" w:rsidR="00EC76DB" w:rsidP="005E6E17" w:rsidRDefault="00EC76DB">
      <w:pPr>
        <w:pStyle w:val="Odlomakpopisa"/>
        <w:spacing w:line="288" w:lineRule="auto"/>
        <w:ind w:left="499"/>
        <w:jc w:val="both"/>
        <w:rPr>
          <w:rFonts w:cs="Arial"/>
          <w:bCs/>
          <w:szCs w:val="24"/>
        </w:rPr>
      </w:pPr>
      <w:r>
        <w:rPr>
          <w:rFonts w:cs="Arial"/>
          <w:bCs/>
          <w:szCs w:val="24"/>
        </w:rPr>
        <w:t>-iznos od 612,06 eura do 1. srpnja 2025.</w:t>
      </w:r>
    </w:p>
    <w:p w:rsidRPr="005E6E17" w:rsidR="005E6E17" w:rsidP="005E6E17" w:rsidRDefault="005E6E17">
      <w:pPr>
        <w:pStyle w:val="Odlomakpopisa"/>
        <w:spacing w:line="288" w:lineRule="auto"/>
        <w:ind w:left="499"/>
        <w:jc w:val="both"/>
        <w:rPr>
          <w:rFonts w:cs="Arial"/>
          <w:bCs/>
          <w:szCs w:val="24"/>
        </w:rPr>
      </w:pPr>
    </w:p>
    <w:p w:rsidRPr="005E6E17" w:rsidR="005E6E17" w:rsidP="00136A7C" w:rsidRDefault="005E6E17">
      <w:pPr>
        <w:jc w:val="both"/>
        <w:rPr>
          <w:rFonts w:ascii="Arial" w:hAnsi="Arial" w:cs="Arial"/>
        </w:rPr>
      </w:pPr>
      <w:r w:rsidRPr="005E6E17">
        <w:rPr>
          <w:rFonts w:ascii="Arial" w:hAnsi="Arial" w:cs="Arial"/>
        </w:rPr>
        <w:t xml:space="preserve">sve na račun tužitelja </w:t>
      </w:r>
      <w:r w:rsidRPr="00EF3C93" w:rsidR="00F62C76">
        <w:rPr>
          <w:rFonts w:ascii="Arial" w:hAnsi="Arial" w:cs="Arial"/>
        </w:rPr>
        <w:t>SKELA BANOVINA d.o.o., OIB 06123730554, Ajdovščinska 44, Petrinja</w:t>
      </w:r>
      <w:r w:rsidRPr="005E6E17" w:rsidR="00F62C76">
        <w:rPr>
          <w:rFonts w:ascii="Arial" w:hAnsi="Arial" w:cs="Arial"/>
        </w:rPr>
        <w:t xml:space="preserve"> </w:t>
      </w:r>
      <w:r w:rsidR="00F62C76">
        <w:rPr>
          <w:rFonts w:ascii="Arial" w:hAnsi="Arial" w:cs="Arial"/>
        </w:rPr>
        <w:t xml:space="preserve"> </w:t>
      </w:r>
      <w:r w:rsidRPr="005E6E17">
        <w:rPr>
          <w:rFonts w:ascii="Arial" w:hAnsi="Arial" w:cs="Arial"/>
        </w:rPr>
        <w:t xml:space="preserve">IBAN </w:t>
      </w:r>
      <w:r w:rsidR="00136A7C">
        <w:rPr>
          <w:rFonts w:ascii="Arial" w:hAnsi="Arial" w:cs="Arial"/>
        </w:rPr>
        <w:t>HR6123900011101044027</w:t>
      </w:r>
      <w:r w:rsidR="0012192E">
        <w:rPr>
          <w:rFonts w:ascii="Arial" w:hAnsi="Arial" w:cs="Arial"/>
        </w:rPr>
        <w:t xml:space="preserve"> Model HR99</w:t>
      </w:r>
      <w:r w:rsidR="0093605A">
        <w:rPr>
          <w:rFonts w:ascii="Arial" w:hAnsi="Arial" w:cs="Arial"/>
        </w:rPr>
        <w:t xml:space="preserve"> </w:t>
      </w:r>
    </w:p>
    <w:p w:rsidR="0012192E" w:rsidP="005E6E17" w:rsidRDefault="0012192E">
      <w:pPr>
        <w:spacing w:line="288" w:lineRule="auto"/>
        <w:jc w:val="both"/>
        <w:rPr>
          <w:rFonts w:ascii="Arial" w:hAnsi="Arial" w:cs="Arial"/>
          <w:b/>
        </w:rPr>
      </w:pPr>
    </w:p>
    <w:p w:rsidRPr="005E6E17" w:rsidR="0012192E" w:rsidP="005E6E17" w:rsidRDefault="005E6E17">
      <w:pPr>
        <w:spacing w:line="288" w:lineRule="auto"/>
        <w:jc w:val="both"/>
        <w:rPr>
          <w:rFonts w:ascii="Arial" w:hAnsi="Arial" w:cs="Arial"/>
          <w:b/>
        </w:rPr>
      </w:pPr>
      <w:r w:rsidRPr="005E6E17">
        <w:rPr>
          <w:rFonts w:ascii="Arial" w:hAnsi="Arial" w:cs="Arial"/>
          <w:b/>
        </w:rPr>
        <w:t>Članak 4.</w:t>
      </w:r>
    </w:p>
    <w:p w:rsidRPr="005E6E17" w:rsidR="005E6E17" w:rsidP="005E6E17" w:rsidRDefault="005E6E17">
      <w:pPr>
        <w:spacing w:line="288" w:lineRule="auto"/>
        <w:jc w:val="both"/>
        <w:rPr>
          <w:rFonts w:ascii="Arial" w:hAnsi="Arial" w:cs="Arial"/>
        </w:rPr>
      </w:pPr>
    </w:p>
    <w:p w:rsidRPr="005E6E17" w:rsidR="005E6E17" w:rsidP="005E6E17" w:rsidRDefault="005E6E17">
      <w:pPr>
        <w:spacing w:line="288" w:lineRule="auto"/>
        <w:jc w:val="both"/>
        <w:rPr>
          <w:rFonts w:ascii="Arial" w:hAnsi="Arial" w:cs="Arial"/>
        </w:rPr>
      </w:pPr>
      <w:r w:rsidRPr="005E6E17">
        <w:rPr>
          <w:rFonts w:ascii="Arial" w:hAnsi="Arial" w:cs="Arial"/>
        </w:rPr>
        <w:t>(1)</w:t>
      </w:r>
      <w:r w:rsidRPr="005E6E17">
        <w:rPr>
          <w:rFonts w:ascii="Arial" w:hAnsi="Arial" w:cs="Arial"/>
        </w:rPr>
        <w:tab/>
        <w:t>Ako tu</w:t>
      </w:r>
      <w:r w:rsidR="0012192E">
        <w:rPr>
          <w:rFonts w:ascii="Arial" w:hAnsi="Arial" w:cs="Arial"/>
        </w:rPr>
        <w:t>ženik isplati iznose iz članka 2</w:t>
      </w:r>
      <w:r w:rsidRPr="005E6E17">
        <w:rPr>
          <w:rFonts w:ascii="Arial" w:hAnsi="Arial" w:cs="Arial"/>
        </w:rPr>
        <w:t xml:space="preserve">. točke 2. ove nagodbe na način i sukladno rokovima određenim u članku </w:t>
      </w:r>
      <w:r w:rsidR="0012192E">
        <w:rPr>
          <w:rFonts w:ascii="Arial" w:hAnsi="Arial" w:cs="Arial"/>
        </w:rPr>
        <w:t>3</w:t>
      </w:r>
      <w:r w:rsidRPr="005E6E17">
        <w:rPr>
          <w:rFonts w:ascii="Arial" w:hAnsi="Arial" w:cs="Arial"/>
        </w:rPr>
        <w:t>. ove sudske nagodbe, smatrat će se da su predmetne tražbine tužitelja prema tuženiku opisane u članku 2. ove nagodbe u cijelosti namirene.</w:t>
      </w:r>
    </w:p>
    <w:p w:rsidRPr="005E6E17" w:rsidR="005E6E17" w:rsidP="005E6E17" w:rsidRDefault="005E6E17">
      <w:pPr>
        <w:spacing w:line="288" w:lineRule="auto"/>
        <w:jc w:val="both"/>
        <w:rPr>
          <w:rFonts w:ascii="Arial" w:hAnsi="Arial" w:cs="Arial"/>
        </w:rPr>
      </w:pPr>
    </w:p>
    <w:p w:rsidRPr="005E6E17" w:rsidR="005E6E17" w:rsidP="005E6E17" w:rsidRDefault="005E6E17">
      <w:pPr>
        <w:spacing w:line="288" w:lineRule="auto"/>
        <w:jc w:val="both"/>
        <w:rPr>
          <w:rFonts w:ascii="Arial" w:hAnsi="Arial" w:cs="Arial"/>
        </w:rPr>
      </w:pPr>
      <w:r w:rsidRPr="005E6E17">
        <w:rPr>
          <w:rFonts w:ascii="Arial" w:hAnsi="Arial" w:cs="Arial"/>
        </w:rPr>
        <w:t>(2)</w:t>
      </w:r>
      <w:r w:rsidRPr="005E6E17">
        <w:rPr>
          <w:rFonts w:ascii="Arial" w:hAnsi="Arial" w:cs="Arial"/>
        </w:rPr>
        <w:tab/>
        <w:t xml:space="preserve">Ako tuženik ne isplati tužitelju bilo koji od iznosa sukladno rokovima dospijeća naznačenim u članku 3. točki 2. ove sudske nagodbe ili ako tuženik izvrši uplatu rata u iznosu manjem od iznosa utvrđenih člankom 3. točke 2. ove nagodbe, tada na naplatu dospijeva cjelokupno dugovanje iz članka 3. ove nagodbe umanjeno za eventualna plaćanja izvršena nakon sklapanja ove nagodbe </w:t>
      </w:r>
      <w:bookmarkStart w:name="_Hlk171955817" w:id="1"/>
      <w:r w:rsidRPr="005E6E17">
        <w:rPr>
          <w:rFonts w:ascii="Arial" w:hAnsi="Arial" w:cs="Arial"/>
        </w:rPr>
        <w:t xml:space="preserve">te je tužitelj ovlašten prisilnim putem preko Financijske agencije naplatiti svoje cjelokupno potraživanje iz članka 3. ove nagodbe. </w:t>
      </w:r>
    </w:p>
    <w:bookmarkEnd w:id="1"/>
    <w:p w:rsidRPr="005E6E17" w:rsidR="005E6E17" w:rsidP="005E6E17" w:rsidRDefault="005E6E17">
      <w:pPr>
        <w:spacing w:line="288" w:lineRule="auto"/>
        <w:jc w:val="both"/>
        <w:rPr>
          <w:rFonts w:ascii="Arial" w:hAnsi="Arial" w:cs="Arial"/>
        </w:rPr>
      </w:pPr>
    </w:p>
    <w:p w:rsidRPr="005E6E17" w:rsidR="005E6E17" w:rsidP="005E6E17" w:rsidRDefault="005E6E17">
      <w:pPr>
        <w:spacing w:line="288" w:lineRule="auto"/>
        <w:jc w:val="both"/>
        <w:rPr>
          <w:rFonts w:ascii="Arial" w:hAnsi="Arial" w:cs="Arial"/>
        </w:rPr>
      </w:pPr>
      <w:r w:rsidRPr="005E6E17">
        <w:rPr>
          <w:rFonts w:ascii="Arial" w:hAnsi="Arial" w:cs="Arial"/>
        </w:rPr>
        <w:lastRenderedPageBreak/>
        <w:t>(3)</w:t>
      </w:r>
      <w:r w:rsidRPr="005E6E17">
        <w:rPr>
          <w:rFonts w:ascii="Arial" w:hAnsi="Arial" w:cs="Arial"/>
        </w:rPr>
        <w:tab/>
        <w:t>Ova nagodba ima svojstvo ovršne isprave temeljem koje tužitelj može svoja potraživanja određena u članku 3. ove nagodbe prisilno ostvarivati u postupku izravne naplate odnosno ovršnom postupku.</w:t>
      </w:r>
    </w:p>
    <w:p w:rsidRPr="005E6E17" w:rsidR="005E6E17" w:rsidP="005E6E17" w:rsidRDefault="005E6E17">
      <w:pPr>
        <w:spacing w:line="288" w:lineRule="auto"/>
        <w:jc w:val="both"/>
        <w:rPr>
          <w:rFonts w:ascii="Arial" w:hAnsi="Arial" w:cs="Arial"/>
        </w:rPr>
      </w:pPr>
    </w:p>
    <w:p w:rsidRPr="005E6E17" w:rsidR="005E6E17" w:rsidP="005E6E17" w:rsidRDefault="005E6E17">
      <w:pPr>
        <w:spacing w:line="288" w:lineRule="auto"/>
        <w:jc w:val="both"/>
        <w:rPr>
          <w:rFonts w:ascii="Arial" w:hAnsi="Arial" w:cs="Arial"/>
        </w:rPr>
      </w:pPr>
    </w:p>
    <w:p w:rsidRPr="005E6E17" w:rsidR="005E6E17" w:rsidP="005E6E17" w:rsidRDefault="005E6E17">
      <w:pPr>
        <w:spacing w:after="120" w:line="288" w:lineRule="auto"/>
        <w:jc w:val="both"/>
        <w:rPr>
          <w:rFonts w:ascii="Arial" w:hAnsi="Arial" w:cs="Arial"/>
          <w:b/>
        </w:rPr>
      </w:pPr>
      <w:r w:rsidRPr="005E6E17">
        <w:rPr>
          <w:rFonts w:ascii="Arial" w:hAnsi="Arial" w:cs="Arial"/>
          <w:b/>
        </w:rPr>
        <w:t>Članak 5.</w:t>
      </w:r>
    </w:p>
    <w:p w:rsidRPr="005E6E17" w:rsidR="005E6E17" w:rsidP="005E6E17" w:rsidRDefault="005E6E17">
      <w:pPr>
        <w:spacing w:after="120" w:line="288" w:lineRule="auto"/>
        <w:jc w:val="both"/>
        <w:rPr>
          <w:rFonts w:ascii="Arial" w:hAnsi="Arial" w:cs="Arial"/>
        </w:rPr>
      </w:pPr>
      <w:r w:rsidRPr="005E6E17">
        <w:rPr>
          <w:rFonts w:ascii="Arial" w:hAnsi="Arial" w:cs="Arial"/>
        </w:rPr>
        <w:t>Tužitelj i tuženik suglasno utvrđuju da potpisom ove sudske nagodbe uređuju u cijelosti sve svoje međusobne odnose koji proizlaze iz spora navedenog u članku 1. ove nagodbe te utvrđuju i kako jedan prema drugome iz predmetnog spora koji se vodi pred Trgovačkim sudom u Zagrebu, Povrv-</w:t>
      </w:r>
      <w:r w:rsidR="0012192E">
        <w:rPr>
          <w:rFonts w:ascii="Arial" w:hAnsi="Arial" w:cs="Arial"/>
        </w:rPr>
        <w:t>1191</w:t>
      </w:r>
      <w:r w:rsidRPr="005E6E17">
        <w:rPr>
          <w:rFonts w:ascii="Arial" w:hAnsi="Arial" w:cs="Arial"/>
        </w:rPr>
        <w:t>/24 nemaju druga potraživanja izuzev potraživanja iz ove nagodbe.</w:t>
      </w:r>
    </w:p>
    <w:p w:rsidRPr="005E6E17" w:rsidR="005E6E17" w:rsidP="005E6E17" w:rsidRDefault="005E6E17">
      <w:pPr>
        <w:spacing w:after="120" w:line="288" w:lineRule="auto"/>
        <w:jc w:val="both"/>
        <w:rPr>
          <w:rFonts w:ascii="Arial" w:hAnsi="Arial" w:cs="Arial"/>
        </w:rPr>
      </w:pPr>
    </w:p>
    <w:p w:rsidRPr="005E6E17" w:rsidR="005E6E17" w:rsidP="005E6E17" w:rsidRDefault="005E6E17">
      <w:pPr>
        <w:spacing w:after="120" w:line="288" w:lineRule="auto"/>
        <w:jc w:val="both"/>
        <w:rPr>
          <w:rFonts w:ascii="Arial" w:hAnsi="Arial" w:cs="Arial"/>
          <w:b/>
        </w:rPr>
      </w:pPr>
      <w:r w:rsidRPr="005E6E17">
        <w:rPr>
          <w:rFonts w:ascii="Arial" w:hAnsi="Arial" w:cs="Arial"/>
          <w:b/>
        </w:rPr>
        <w:t>Članak 6.</w:t>
      </w:r>
    </w:p>
    <w:p w:rsidRPr="005E6E17" w:rsidR="005E6E17" w:rsidP="005E6E17" w:rsidRDefault="005E6E17">
      <w:pPr>
        <w:spacing w:line="288" w:lineRule="auto"/>
        <w:jc w:val="both"/>
        <w:rPr>
          <w:rFonts w:ascii="Arial" w:hAnsi="Arial" w:cs="Arial"/>
        </w:rPr>
      </w:pPr>
      <w:r w:rsidRPr="005E6E17">
        <w:rPr>
          <w:rFonts w:ascii="Arial" w:hAnsi="Arial" w:cs="Arial"/>
        </w:rPr>
        <w:t>Stranke u znak da je ovom nagodbom izražena njihova prava volja istu potpisuju te svojim potpisima potvrđuju da su u cijelosti upoznate i suglasne s njenim sadržajem te da prihvaćaju sva prava i obveze koje iz nje proizlaze.</w:t>
      </w:r>
    </w:p>
    <w:p w:rsidRPr="005E6E17" w:rsidR="005E6E17" w:rsidP="005E6E17" w:rsidRDefault="005E6E17">
      <w:pPr>
        <w:spacing w:line="288" w:lineRule="auto"/>
        <w:jc w:val="both"/>
        <w:rPr>
          <w:rFonts w:ascii="Arial" w:hAnsi="Arial" w:cs="Arial"/>
        </w:rPr>
      </w:pPr>
    </w:p>
    <w:p w:rsidRPr="005E6E17" w:rsidR="005E6E17" w:rsidP="005E6E17" w:rsidRDefault="005E6E17">
      <w:pPr>
        <w:pStyle w:val="Standard"/>
        <w:jc w:val="both"/>
        <w:rPr>
          <w:rFonts w:ascii="Arial" w:hAnsi="Arial"/>
        </w:rPr>
      </w:pPr>
    </w:p>
    <w:p w:rsidRPr="005E6E17" w:rsidR="005E6E17" w:rsidP="005E6E17" w:rsidRDefault="005E6E17">
      <w:pPr>
        <w:pStyle w:val="Standard"/>
        <w:jc w:val="both"/>
        <w:rPr>
          <w:rFonts w:ascii="Arial" w:hAnsi="Arial"/>
          <w:b/>
        </w:rPr>
      </w:pPr>
      <w:r w:rsidRPr="005E6E17">
        <w:rPr>
          <w:rFonts w:ascii="Arial" w:hAnsi="Arial"/>
          <w:b/>
        </w:rPr>
        <w:t>Članak 7.</w:t>
      </w:r>
    </w:p>
    <w:p w:rsidRPr="005E6E17" w:rsidR="005E6E17" w:rsidP="005E6E17" w:rsidRDefault="005E6E17">
      <w:pPr>
        <w:pStyle w:val="Tijeloteksta"/>
        <w:contextualSpacing/>
        <w:rPr>
          <w:rFonts w:ascii="Arial" w:hAnsi="Arial" w:cs="Arial"/>
          <w:szCs w:val="24"/>
        </w:rPr>
      </w:pPr>
    </w:p>
    <w:p w:rsidRPr="005E6E17" w:rsidR="005E6E17" w:rsidP="005E6E17" w:rsidRDefault="005E6E17">
      <w:pPr>
        <w:pStyle w:val="Tijeloteksta"/>
        <w:contextualSpacing/>
        <w:rPr>
          <w:rFonts w:ascii="Arial" w:hAnsi="Arial" w:eastAsia="Times" w:cs="Arial"/>
          <w:szCs w:val="24"/>
        </w:rPr>
      </w:pPr>
      <w:r w:rsidRPr="005E6E17">
        <w:rPr>
          <w:rFonts w:ascii="Arial" w:hAnsi="Arial" w:eastAsia="Times" w:cs="Arial"/>
          <w:szCs w:val="24"/>
        </w:rPr>
        <w:t>Tužitelj  i tuženik potvrđuju da u cijelosti razumiju i prihvaćaju posljedice sklapanja ove Nagodbe.</w:t>
      </w:r>
    </w:p>
    <w:p w:rsidRPr="005E6E17" w:rsidR="005E6E17" w:rsidP="005E6E17" w:rsidRDefault="005E6E17">
      <w:pPr>
        <w:pStyle w:val="Standard"/>
        <w:jc w:val="both"/>
        <w:rPr>
          <w:rFonts w:ascii="Arial" w:hAnsi="Arial"/>
          <w:bCs/>
        </w:rPr>
      </w:pPr>
    </w:p>
    <w:p w:rsidRPr="005E6E17" w:rsidR="005E6E17" w:rsidP="005E6E17" w:rsidRDefault="005E6E17">
      <w:pPr>
        <w:pStyle w:val="Standard"/>
        <w:jc w:val="both"/>
        <w:rPr>
          <w:rFonts w:ascii="Arial" w:hAnsi="Arial"/>
        </w:rPr>
      </w:pPr>
      <w:r w:rsidRPr="005E6E17">
        <w:rPr>
          <w:rFonts w:ascii="Arial" w:hAnsi="Arial"/>
        </w:rPr>
        <w:t>Ova sudska nagodba ima snagu ovršne isprave.</w:t>
      </w:r>
    </w:p>
    <w:p w:rsidRPr="005E6E17" w:rsidR="005E6E17" w:rsidP="005E6E17" w:rsidRDefault="005E6E17">
      <w:pPr>
        <w:pStyle w:val="Standard"/>
        <w:jc w:val="both"/>
        <w:rPr>
          <w:rFonts w:ascii="Arial" w:hAnsi="Arial"/>
        </w:rPr>
      </w:pPr>
    </w:p>
    <w:p w:rsidRPr="005E6E17" w:rsidR="005E6E17" w:rsidP="005E6E17" w:rsidRDefault="005E6E17">
      <w:pPr>
        <w:pStyle w:val="Standard"/>
        <w:jc w:val="both"/>
        <w:rPr>
          <w:rFonts w:ascii="Arial" w:hAnsi="Arial"/>
        </w:rPr>
      </w:pPr>
    </w:p>
    <w:p w:rsidRPr="005E6E17" w:rsidR="005E6E17" w:rsidP="005E6E17" w:rsidRDefault="005E6E17">
      <w:pPr>
        <w:pStyle w:val="Standard"/>
        <w:jc w:val="both"/>
        <w:rPr>
          <w:rFonts w:ascii="Arial" w:hAnsi="Arial"/>
          <w:b/>
        </w:rPr>
      </w:pPr>
      <w:r w:rsidRPr="005E6E17">
        <w:rPr>
          <w:rFonts w:ascii="Arial" w:hAnsi="Arial"/>
          <w:b/>
        </w:rPr>
        <w:t>Članak 8.</w:t>
      </w:r>
    </w:p>
    <w:p w:rsidRPr="005E6E17" w:rsidR="005E6E17" w:rsidP="005E6E17" w:rsidRDefault="005E6E17">
      <w:pPr>
        <w:pStyle w:val="Standard"/>
        <w:jc w:val="both"/>
        <w:rPr>
          <w:rFonts w:ascii="Arial" w:hAnsi="Arial"/>
          <w:bCs/>
        </w:rPr>
      </w:pPr>
    </w:p>
    <w:p w:rsidRPr="005E6E17" w:rsidR="005E6E17" w:rsidP="005E6E17" w:rsidRDefault="005E6E17">
      <w:pPr>
        <w:pStyle w:val="Standard"/>
        <w:jc w:val="both"/>
        <w:rPr>
          <w:rFonts w:ascii="Arial" w:hAnsi="Arial"/>
        </w:rPr>
      </w:pPr>
      <w:r w:rsidRPr="005E6E17">
        <w:rPr>
          <w:rFonts w:ascii="Arial" w:hAnsi="Arial"/>
        </w:rPr>
        <w:t>Ova sudska nagodba je strankama pročitana i protumačena te istu u znak suglasnosti potpisuju.</w:t>
      </w:r>
    </w:p>
    <w:p w:rsidRPr="005E6E17" w:rsidR="005E6E17" w:rsidP="005E6E17" w:rsidRDefault="005E6E17">
      <w:pPr>
        <w:pStyle w:val="Tijeloteksta"/>
        <w:contextualSpacing/>
        <w:rPr>
          <w:rFonts w:ascii="Arial" w:hAnsi="Arial" w:eastAsia="Times" w:cs="Arial"/>
          <w:szCs w:val="24"/>
        </w:rPr>
      </w:pPr>
    </w:p>
    <w:p w:rsidRPr="005E6E17" w:rsidR="005E6E17" w:rsidP="005E6E17" w:rsidRDefault="005E6E17">
      <w:pPr>
        <w:contextualSpacing/>
        <w:jc w:val="both"/>
        <w:rPr>
          <w:rFonts w:ascii="Arial" w:hAnsi="Arial" w:cs="Arial"/>
        </w:rPr>
      </w:pPr>
      <w:r w:rsidRPr="005E6E17">
        <w:rPr>
          <w:rFonts w:ascii="Arial" w:hAnsi="Arial" w:cs="Arial"/>
        </w:rPr>
        <w:t>Ova Nagodba sastavljena je u tri istovjetna primjerka od kojih svaka stranka zadržava po jedan primjerak, a jedan se ulaže u sudski spis.</w:t>
      </w:r>
    </w:p>
    <w:p w:rsidRPr="005E6E17" w:rsidR="005E6E17" w:rsidP="005E6E17" w:rsidRDefault="005E6E17">
      <w:pPr>
        <w:contextualSpacing/>
        <w:jc w:val="both"/>
        <w:rPr>
          <w:rFonts w:ascii="Arial" w:hAnsi="Arial" w:cs="Arial"/>
        </w:rPr>
      </w:pPr>
    </w:p>
    <w:p w:rsidRPr="005E6E17" w:rsidR="005E6E17" w:rsidP="005E6E17" w:rsidRDefault="005E6E17">
      <w:pPr>
        <w:contextualSpacing/>
        <w:jc w:val="both"/>
        <w:rPr>
          <w:rFonts w:ascii="Arial" w:hAnsi="Arial" w:cs="Arial"/>
        </w:rPr>
      </w:pPr>
    </w:p>
    <w:p w:rsidRPr="005E6E17" w:rsidR="005E6E17" w:rsidP="005E6E17" w:rsidRDefault="005E6E17">
      <w:pPr>
        <w:pStyle w:val="Tijeloteksta"/>
        <w:tabs>
          <w:tab w:val="center" w:pos="4465"/>
          <w:tab w:val="left" w:pos="8100"/>
        </w:tabs>
        <w:ind w:left="284" w:hanging="710"/>
        <w:contextualSpacing/>
        <w:rPr>
          <w:rFonts w:ascii="Arial" w:hAnsi="Arial" w:eastAsia="Times" w:cs="Arial"/>
          <w:szCs w:val="24"/>
        </w:rPr>
      </w:pPr>
      <w:r w:rsidRPr="005E6E17">
        <w:rPr>
          <w:rFonts w:ascii="Arial" w:hAnsi="Arial" w:eastAsia="Times" w:cs="Arial"/>
          <w:szCs w:val="24"/>
        </w:rPr>
        <w:t xml:space="preserve">Dovršeno u  </w:t>
      </w:r>
      <w:r w:rsidR="00AB0D6B">
        <w:rPr>
          <w:rFonts w:ascii="Arial" w:hAnsi="Arial" w:eastAsia="Times" w:cs="Arial"/>
          <w:szCs w:val="24"/>
        </w:rPr>
        <w:t>11:33</w:t>
      </w:r>
      <w:r w:rsidRPr="005E6E17">
        <w:rPr>
          <w:rFonts w:ascii="Arial" w:hAnsi="Arial" w:eastAsia="Times" w:cs="Arial"/>
          <w:szCs w:val="24"/>
        </w:rPr>
        <w:t xml:space="preserve">  sati</w:t>
      </w:r>
    </w:p>
    <w:p w:rsidRPr="005E6E17" w:rsidR="005E6E17" w:rsidP="005E6E17" w:rsidRDefault="005E6E17">
      <w:pPr>
        <w:pStyle w:val="Tijeloteksta"/>
        <w:tabs>
          <w:tab w:val="center" w:pos="4465"/>
          <w:tab w:val="left" w:pos="8100"/>
        </w:tabs>
        <w:ind w:left="284" w:hanging="710"/>
        <w:contextualSpacing/>
        <w:rPr>
          <w:rFonts w:ascii="Arial" w:hAnsi="Arial" w:eastAsia="Times" w:cs="Arial"/>
          <w:szCs w:val="24"/>
        </w:rPr>
      </w:pPr>
    </w:p>
    <w:p w:rsidRPr="005E6E17" w:rsidR="005E6E17" w:rsidP="005E6E17" w:rsidRDefault="005E6E17">
      <w:pPr>
        <w:pStyle w:val="Tijeloteksta"/>
        <w:tabs>
          <w:tab w:val="center" w:pos="4465"/>
          <w:tab w:val="left" w:pos="8100"/>
        </w:tabs>
        <w:ind w:left="284" w:hanging="710"/>
        <w:contextualSpacing/>
        <w:rPr>
          <w:rFonts w:ascii="Arial" w:hAnsi="Arial" w:eastAsia="Times" w:cs="Arial"/>
          <w:szCs w:val="24"/>
        </w:rPr>
      </w:pPr>
    </w:p>
    <w:p w:rsidRPr="005E6E17" w:rsidR="005E6E17" w:rsidP="005E6E17" w:rsidRDefault="005E6E17">
      <w:pPr>
        <w:contextualSpacing/>
        <w:jc w:val="both"/>
        <w:rPr>
          <w:rFonts w:ascii="Arial" w:hAnsi="Arial" w:cs="Arial"/>
        </w:rPr>
      </w:pPr>
      <w:r w:rsidRPr="005E6E17">
        <w:rPr>
          <w:rFonts w:ascii="Arial" w:hAnsi="Arial" w:cs="Arial"/>
        </w:rPr>
        <w:t>Sudac</w:t>
      </w:r>
    </w:p>
    <w:p w:rsidRPr="005E6E17" w:rsidR="005E6E17" w:rsidP="005E6E17" w:rsidRDefault="005E6E17">
      <w:pPr>
        <w:contextualSpacing/>
        <w:jc w:val="both"/>
        <w:rPr>
          <w:rFonts w:ascii="Arial" w:hAnsi="Arial" w:cs="Arial"/>
        </w:rPr>
      </w:pPr>
    </w:p>
    <w:p w:rsidRPr="005E6E17" w:rsidR="005E6E17" w:rsidP="005E6E17" w:rsidRDefault="005E6E17">
      <w:pPr>
        <w:contextualSpacing/>
        <w:jc w:val="both"/>
        <w:rPr>
          <w:rFonts w:ascii="Arial" w:hAnsi="Arial" w:cs="Arial"/>
        </w:rPr>
      </w:pPr>
    </w:p>
    <w:p w:rsidRPr="005E6E17" w:rsidR="005E6E17" w:rsidP="005E6E17" w:rsidRDefault="005E6E17">
      <w:pPr>
        <w:spacing w:line="288" w:lineRule="auto"/>
        <w:jc w:val="both"/>
        <w:rPr>
          <w:rFonts w:ascii="Arial" w:hAnsi="Arial" w:cs="Arial"/>
        </w:rPr>
      </w:pPr>
      <w:r w:rsidRPr="005E6E17">
        <w:rPr>
          <w:rFonts w:ascii="Arial" w:hAnsi="Arial" w:cs="Arial"/>
        </w:rPr>
        <w:lastRenderedPageBreak/>
        <w:t>Tužitelj:</w:t>
      </w:r>
      <w:r w:rsidRPr="005E6E17">
        <w:rPr>
          <w:rFonts w:ascii="Arial" w:hAnsi="Arial" w:cs="Arial"/>
        </w:rPr>
        <w:tab/>
      </w:r>
      <w:r w:rsidRPr="005E6E17">
        <w:rPr>
          <w:rFonts w:ascii="Arial" w:hAnsi="Arial" w:cs="Arial"/>
        </w:rPr>
        <w:tab/>
      </w:r>
      <w:r w:rsidRPr="005E6E17">
        <w:rPr>
          <w:rFonts w:ascii="Arial" w:hAnsi="Arial" w:cs="Arial"/>
        </w:rPr>
        <w:tab/>
      </w:r>
      <w:r w:rsidRPr="005E6E17">
        <w:rPr>
          <w:rFonts w:ascii="Arial" w:hAnsi="Arial" w:cs="Arial"/>
        </w:rPr>
        <w:tab/>
      </w:r>
      <w:r w:rsidRPr="005E6E17">
        <w:rPr>
          <w:rFonts w:ascii="Arial" w:hAnsi="Arial" w:cs="Arial"/>
        </w:rPr>
        <w:tab/>
      </w:r>
      <w:r w:rsidRPr="005E6E17">
        <w:rPr>
          <w:rFonts w:ascii="Arial" w:hAnsi="Arial" w:cs="Arial"/>
        </w:rPr>
        <w:tab/>
      </w:r>
      <w:r w:rsidRPr="005E6E17">
        <w:rPr>
          <w:rFonts w:ascii="Arial" w:hAnsi="Arial" w:cs="Arial"/>
        </w:rPr>
        <w:tab/>
        <w:t xml:space="preserve">        Tuženik:</w:t>
      </w:r>
    </w:p>
    <w:p w:rsidR="00AB0D6B" w:rsidP="005E6E17" w:rsidRDefault="005E6E17">
      <w:pPr>
        <w:spacing w:line="288" w:lineRule="auto"/>
        <w:jc w:val="both"/>
        <w:rPr>
          <w:rFonts w:ascii="Arial" w:hAnsi="Arial" w:cs="Arial"/>
        </w:rPr>
      </w:pPr>
      <w:r w:rsidRPr="005E6E17">
        <w:rPr>
          <w:rFonts w:ascii="Arial" w:hAnsi="Arial" w:cs="Arial"/>
        </w:rPr>
        <w:tab/>
      </w:r>
    </w:p>
    <w:p w:rsidR="00AE06A4" w:rsidP="00AE06A4" w:rsidRDefault="00AE06A4">
      <w:pPr>
        <w:tabs>
          <w:tab w:val="left" w:pos="6060"/>
        </w:tabs>
        <w:spacing w:line="288" w:lineRule="auto"/>
        <w:ind w:left="6060" w:hanging="6060"/>
        <w:rPr>
          <w:rFonts w:ascii="Arial" w:hAnsi="Arial" w:cs="Arial"/>
        </w:rPr>
      </w:pPr>
      <w:r>
        <w:rPr>
          <w:rFonts w:ascii="Arial" w:hAnsi="Arial" w:cs="Arial"/>
        </w:rPr>
        <w:t>SKELA BANOVINA d.o.o.</w:t>
      </w:r>
      <w:r>
        <w:rPr>
          <w:rFonts w:ascii="Arial" w:hAnsi="Arial" w:cs="Arial"/>
        </w:rPr>
        <w:tab/>
      </w:r>
      <w:r w:rsidRPr="00FB6151">
        <w:rPr>
          <w:rFonts w:ascii="Arial" w:hAnsi="Arial" w:cs="Arial"/>
        </w:rPr>
        <w:t>Nebojša Bunčić u ime OPG</w:t>
      </w:r>
      <w:r>
        <w:rPr>
          <w:rFonts w:ascii="Arial" w:hAnsi="Arial" w:cs="Arial"/>
        </w:rPr>
        <w:tab/>
      </w:r>
    </w:p>
    <w:p w:rsidR="00AE06A4" w:rsidP="00AE06A4" w:rsidRDefault="00AE06A4">
      <w:pPr>
        <w:tabs>
          <w:tab w:val="left" w:pos="6060"/>
        </w:tabs>
        <w:spacing w:line="288" w:lineRule="auto"/>
        <w:ind w:left="6060" w:hanging="6060"/>
      </w:pPr>
      <w:r w:rsidRPr="00AE06A4">
        <w:rPr>
          <w:rFonts w:ascii="Arial" w:hAnsi="Arial" w:cs="Arial"/>
        </w:rPr>
        <w:t>OIB 06123730554,</w:t>
      </w:r>
      <w:r w:rsidRPr="00AE06A4">
        <w:t xml:space="preserve"> </w:t>
      </w:r>
      <w:r>
        <w:tab/>
      </w:r>
      <w:r w:rsidRPr="00FB6151">
        <w:rPr>
          <w:rFonts w:ascii="Arial" w:hAnsi="Arial" w:cs="Arial"/>
        </w:rPr>
        <w:t>Bunčić, OIB 84051582431,</w:t>
      </w:r>
    </w:p>
    <w:p w:rsidR="00AE06A4" w:rsidP="00AE06A4" w:rsidRDefault="00AE06A4">
      <w:pPr>
        <w:tabs>
          <w:tab w:val="left" w:pos="6060"/>
        </w:tabs>
        <w:spacing w:line="288" w:lineRule="auto"/>
        <w:ind w:left="6060" w:hanging="6060"/>
        <w:rPr>
          <w:rFonts w:ascii="Arial" w:hAnsi="Arial" w:cs="Arial"/>
        </w:rPr>
      </w:pPr>
      <w:r w:rsidRPr="00AE06A4">
        <w:rPr>
          <w:rFonts w:ascii="Arial" w:hAnsi="Arial" w:cs="Arial"/>
        </w:rPr>
        <w:t>Ajdovščinska 44, Petrinja</w:t>
      </w:r>
      <w:r>
        <w:rPr>
          <w:rFonts w:ascii="Arial" w:hAnsi="Arial" w:cs="Arial"/>
        </w:rPr>
        <w:t xml:space="preserve">, </w:t>
      </w:r>
      <w:r>
        <w:rPr>
          <w:rFonts w:ascii="Arial" w:hAnsi="Arial" w:cs="Arial"/>
        </w:rPr>
        <w:tab/>
      </w:r>
      <w:r w:rsidRPr="00FB6151">
        <w:rPr>
          <w:rFonts w:ascii="Arial" w:hAnsi="Arial" w:cs="Arial"/>
        </w:rPr>
        <w:t>Veliki Šušnjar 3, Veliki Šušnjar</w:t>
      </w:r>
    </w:p>
    <w:p w:rsidRPr="00AB0D6B" w:rsidR="00AB0D6B" w:rsidP="00AE06A4" w:rsidRDefault="00AE06A4">
      <w:pPr>
        <w:tabs>
          <w:tab w:val="left" w:pos="6060"/>
        </w:tabs>
        <w:spacing w:line="288" w:lineRule="auto"/>
        <w:ind w:left="6060" w:hanging="6060"/>
        <w:rPr>
          <w:rFonts w:ascii="Arial" w:hAnsi="Arial" w:cs="Arial"/>
        </w:rPr>
      </w:pPr>
      <w:r>
        <w:rPr>
          <w:rFonts w:ascii="Arial" w:hAnsi="Arial" w:cs="Arial"/>
        </w:rPr>
        <w:t>po punomoćniku Hrvoje Milković</w:t>
      </w:r>
      <w:r>
        <w:rPr>
          <w:rFonts w:ascii="Arial" w:hAnsi="Arial" w:cs="Arial"/>
        </w:rPr>
        <w:tab/>
      </w:r>
    </w:p>
    <w:p w:rsidRPr="00FB6151" w:rsidR="005E6E17" w:rsidP="005E6E17" w:rsidRDefault="00FB6151">
      <w:pPr>
        <w:spacing w:line="288" w:lineRule="auto"/>
        <w:jc w:val="both"/>
        <w:rPr>
          <w:rFonts w:ascii="Arial" w:hAnsi="Arial" w:cs="Arial"/>
        </w:rPr>
      </w:pPr>
      <w:r>
        <w:rPr>
          <w:rFonts w:ascii="Arial" w:hAnsi="Arial" w:cs="Arial"/>
        </w:rPr>
        <w:tab/>
      </w:r>
      <w:r>
        <w:rPr>
          <w:rFonts w:ascii="Arial" w:hAnsi="Arial" w:cs="Arial"/>
        </w:rPr>
        <w:tab/>
      </w:r>
      <w:r>
        <w:rPr>
          <w:rFonts w:ascii="Arial" w:hAnsi="Arial" w:cs="Arial"/>
        </w:rPr>
        <w:tab/>
      </w:r>
    </w:p>
    <w:p w:rsidRPr="00FA2203" w:rsidR="005E6E17" w:rsidP="005E6E17" w:rsidRDefault="005E6E17">
      <w:pPr>
        <w:spacing w:line="288" w:lineRule="auto"/>
        <w:jc w:val="both"/>
        <w:rPr>
          <w:rFonts w:cs="Arial"/>
        </w:rPr>
      </w:pPr>
    </w:p>
    <w:p w:rsidRPr="00F474A9" w:rsidR="00CB311B" w:rsidP="00F720E8" w:rsidRDefault="00CB311B">
      <w:pPr>
        <w:jc w:val="center"/>
        <w:rPr>
          <w:rFonts w:ascii="Arial" w:hAnsi="Arial" w:cs="Arial"/>
        </w:rPr>
      </w:pPr>
    </w:p>
    <w:sectPr w:rsidRPr="00F474A9" w:rsidR="00CB311B">
      <w:pgSz w:w="12240" w:h="15840"/>
      <w:pgMar w:top="1417" w:right="1417" w:bottom="1417" w:left="1417" w:header="720" w:footer="720" w:gutter="0"/>
      <w:cols w:space="72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669CC" w:rsidP="0038044E" w:rsidRDefault="00B669CC">
      <w:r>
        <w:separator/>
      </w:r>
    </w:p>
  </w:endnote>
  <w:endnote w:type="continuationSeparator" w:id="0">
    <w:p w:rsidR="00B669CC" w:rsidP="0038044E" w:rsidRDefault="00B669CC">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669CC" w:rsidP="0038044E" w:rsidRDefault="00B669CC">
      <w:r>
        <w:separator/>
      </w:r>
    </w:p>
  </w:footnote>
  <w:footnote w:type="continuationSeparator" w:id="0">
    <w:p w:rsidR="00B669CC" w:rsidP="0038044E" w:rsidRDefault="00B669CC">
      <w:r>
        <w:continuationSeparator/>
      </w:r>
    </w:p>
  </w:footnote>
</w:footnotes>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A82CA8"/>
    <w:multiLevelType w:val="hybridMultilevel"/>
    <w:tmpl w:val="73F62D0C"/>
    <w:lvl w:ilvl="0" w:tplc="2DB4B94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8121CF7"/>
    <w:multiLevelType w:val="hybridMultilevel"/>
    <w:tmpl w:val="2B2464AE"/>
    <w:lvl w:ilvl="0" w:tplc="7A06C6E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D201B89"/>
    <w:multiLevelType w:val="hybridMultilevel"/>
    <w:tmpl w:val="146CD05A"/>
    <w:lvl w:ilvl="0" w:tplc="041A0013">
      <w:start w:val="1"/>
      <w:numFmt w:val="upperRoman"/>
      <w:lvlText w:val="%1."/>
      <w:lvlJc w:val="right"/>
      <w:pPr>
        <w:tabs>
          <w:tab w:val="num" w:pos="540"/>
        </w:tabs>
        <w:ind w:left="540" w:hanging="180"/>
      </w:pPr>
      <w:rPr>
        <w:rFonts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3">
    <w:nsid w:val="287556FF"/>
    <w:multiLevelType w:val="hybridMultilevel"/>
    <w:tmpl w:val="F5A8CF86"/>
    <w:lvl w:ilvl="0" w:tplc="B1BE7B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C8C3851"/>
    <w:multiLevelType w:val="hybridMultilevel"/>
    <w:tmpl w:val="2C16D074"/>
    <w:lvl w:ilvl="0" w:tplc="7FF8D568">
      <w:start w:val="1"/>
      <w:numFmt w:val="upperRoman"/>
      <w:lvlText w:val="%1."/>
      <w:lvlJc w:val="right"/>
      <w:pPr>
        <w:tabs>
          <w:tab w:val="num" w:pos="540"/>
        </w:tabs>
        <w:ind w:left="540" w:hanging="180"/>
      </w:pPr>
      <w:rPr>
        <w:rFonts w:hint="default" w:ascii="Times New Roman" w:hAnsi="Times New Roman"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5">
    <w:nsid w:val="3B9A51E0"/>
    <w:multiLevelType w:val="hybridMultilevel"/>
    <w:tmpl w:val="A30EE4AC"/>
    <w:lvl w:ilvl="0" w:tplc="BD144FD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EF21AED"/>
    <w:multiLevelType w:val="hybridMultilevel"/>
    <w:tmpl w:val="76589070"/>
    <w:lvl w:ilvl="0" w:tplc="20CA2ED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6476626"/>
    <w:multiLevelType w:val="hybridMultilevel"/>
    <w:tmpl w:val="00CE50D8"/>
    <w:lvl w:ilvl="0" w:tplc="A8A688E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4CDF5D08"/>
    <w:multiLevelType w:val="hybridMultilevel"/>
    <w:tmpl w:val="6EC623B4"/>
    <w:lvl w:ilvl="0" w:tplc="983494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7E066BE"/>
    <w:multiLevelType w:val="hybridMultilevel"/>
    <w:tmpl w:val="B57E4F06"/>
    <w:lvl w:ilvl="0" w:tplc="D60403A2">
      <w:start w:val="1"/>
      <w:numFmt w:val="low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5C2E110B"/>
    <w:multiLevelType w:val="hybridMultilevel"/>
    <w:tmpl w:val="1EA40302"/>
    <w:lvl w:ilvl="0" w:tplc="ACD4BFC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60211574"/>
    <w:multiLevelType w:val="hybridMultilevel"/>
    <w:tmpl w:val="815055F0"/>
    <w:lvl w:ilvl="0" w:tplc="1B84DE2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244144B"/>
    <w:multiLevelType w:val="hybridMultilevel"/>
    <w:tmpl w:val="414EAA02"/>
    <w:lvl w:ilvl="0" w:tplc="B7D289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63231440"/>
    <w:multiLevelType w:val="hybridMultilevel"/>
    <w:tmpl w:val="7996F888"/>
    <w:lvl w:ilvl="0" w:tplc="17C44370">
      <w:start w:val="1"/>
      <w:numFmt w:val="upperRoman"/>
      <w:lvlText w:val="%1."/>
      <w:lvlJc w:val="left"/>
      <w:pPr>
        <w:ind w:left="2496" w:hanging="720"/>
      </w:pPr>
      <w:rPr>
        <w:rFonts w:hint="default"/>
      </w:rPr>
    </w:lvl>
    <w:lvl w:ilvl="1" w:tplc="041A0019" w:tentative="true">
      <w:start w:val="1"/>
      <w:numFmt w:val="lowerLetter"/>
      <w:lvlText w:val="%2."/>
      <w:lvlJc w:val="left"/>
      <w:pPr>
        <w:ind w:left="2856" w:hanging="360"/>
      </w:pPr>
    </w:lvl>
    <w:lvl w:ilvl="2" w:tplc="041A001B" w:tentative="true">
      <w:start w:val="1"/>
      <w:numFmt w:val="lowerRoman"/>
      <w:lvlText w:val="%3."/>
      <w:lvlJc w:val="right"/>
      <w:pPr>
        <w:ind w:left="3576" w:hanging="180"/>
      </w:pPr>
    </w:lvl>
    <w:lvl w:ilvl="3" w:tplc="041A000F" w:tentative="true">
      <w:start w:val="1"/>
      <w:numFmt w:val="decimal"/>
      <w:lvlText w:val="%4."/>
      <w:lvlJc w:val="left"/>
      <w:pPr>
        <w:ind w:left="4296" w:hanging="360"/>
      </w:pPr>
    </w:lvl>
    <w:lvl w:ilvl="4" w:tplc="041A0019" w:tentative="true">
      <w:start w:val="1"/>
      <w:numFmt w:val="lowerLetter"/>
      <w:lvlText w:val="%5."/>
      <w:lvlJc w:val="left"/>
      <w:pPr>
        <w:ind w:left="5016" w:hanging="360"/>
      </w:pPr>
    </w:lvl>
    <w:lvl w:ilvl="5" w:tplc="041A001B" w:tentative="true">
      <w:start w:val="1"/>
      <w:numFmt w:val="lowerRoman"/>
      <w:lvlText w:val="%6."/>
      <w:lvlJc w:val="right"/>
      <w:pPr>
        <w:ind w:left="5736" w:hanging="180"/>
      </w:pPr>
    </w:lvl>
    <w:lvl w:ilvl="6" w:tplc="041A000F" w:tentative="true">
      <w:start w:val="1"/>
      <w:numFmt w:val="decimal"/>
      <w:lvlText w:val="%7."/>
      <w:lvlJc w:val="left"/>
      <w:pPr>
        <w:ind w:left="6456" w:hanging="360"/>
      </w:pPr>
    </w:lvl>
    <w:lvl w:ilvl="7" w:tplc="041A0019" w:tentative="true">
      <w:start w:val="1"/>
      <w:numFmt w:val="lowerLetter"/>
      <w:lvlText w:val="%8."/>
      <w:lvlJc w:val="left"/>
      <w:pPr>
        <w:ind w:left="7176" w:hanging="360"/>
      </w:pPr>
    </w:lvl>
    <w:lvl w:ilvl="8" w:tplc="041A001B" w:tentative="true">
      <w:start w:val="1"/>
      <w:numFmt w:val="lowerRoman"/>
      <w:lvlText w:val="%9."/>
      <w:lvlJc w:val="right"/>
      <w:pPr>
        <w:ind w:left="7896" w:hanging="180"/>
      </w:pPr>
    </w:lvl>
  </w:abstractNum>
  <w:abstractNum w:abstractNumId="14">
    <w:nsid w:val="645A0EE8"/>
    <w:multiLevelType w:val="hybridMultilevel"/>
    <w:tmpl w:val="68AACBC2"/>
    <w:lvl w:ilvl="0" w:tplc="983226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6A6E4135"/>
    <w:multiLevelType w:val="hybridMultilevel"/>
    <w:tmpl w:val="9EFA7E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6">
    <w:nsid w:val="7B776790"/>
    <w:multiLevelType w:val="hybridMultilevel"/>
    <w:tmpl w:val="E18C3536"/>
    <w:lvl w:ilvl="0" w:tplc="BC6C1E62">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13"/>
  </w:num>
  <w:num w:numId="3">
    <w:abstractNumId w:val="0"/>
  </w:num>
  <w:num w:numId="4">
    <w:abstractNumId w:val="5"/>
  </w:num>
  <w:num w:numId="5">
    <w:abstractNumId w:val="9"/>
  </w:num>
  <w:num w:numId="6">
    <w:abstractNumId w:val="16"/>
  </w:num>
  <w:num w:numId="7">
    <w:abstractNumId w:val="12"/>
  </w:num>
  <w:num w:numId="8">
    <w:abstractNumId w:val="7"/>
  </w:num>
  <w:num w:numId="9">
    <w:abstractNumId w:val="11"/>
  </w:num>
  <w:num w:numId="10">
    <w:abstractNumId w:val="6"/>
  </w:num>
  <w:num w:numId="11">
    <w:abstractNumId w:val="14"/>
  </w:num>
  <w:num w:numId="12">
    <w:abstractNumId w:val="8"/>
  </w:num>
  <w:num w:numId="13">
    <w:abstractNumId w:val="10"/>
  </w:num>
  <w:num w:numId="14">
    <w:abstractNumId w:val="1"/>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1D9"/>
    <w:rsid w:val="00000027"/>
    <w:rsid w:val="00011CC1"/>
    <w:rsid w:val="000270F6"/>
    <w:rsid w:val="0004627B"/>
    <w:rsid w:val="00054C1F"/>
    <w:rsid w:val="00071154"/>
    <w:rsid w:val="000717CB"/>
    <w:rsid w:val="00086799"/>
    <w:rsid w:val="0009305A"/>
    <w:rsid w:val="000A3528"/>
    <w:rsid w:val="000A394D"/>
    <w:rsid w:val="000C11EB"/>
    <w:rsid w:val="000D1089"/>
    <w:rsid w:val="000E759E"/>
    <w:rsid w:val="000F122D"/>
    <w:rsid w:val="000F19C3"/>
    <w:rsid w:val="000F230D"/>
    <w:rsid w:val="00116B46"/>
    <w:rsid w:val="0012192E"/>
    <w:rsid w:val="0012577C"/>
    <w:rsid w:val="00136A7C"/>
    <w:rsid w:val="0014549D"/>
    <w:rsid w:val="001709AC"/>
    <w:rsid w:val="0017760B"/>
    <w:rsid w:val="00190F2C"/>
    <w:rsid w:val="00192DED"/>
    <w:rsid w:val="00193D0F"/>
    <w:rsid w:val="001C3FF8"/>
    <w:rsid w:val="00204269"/>
    <w:rsid w:val="00220641"/>
    <w:rsid w:val="002618A9"/>
    <w:rsid w:val="00292515"/>
    <w:rsid w:val="002D54B2"/>
    <w:rsid w:val="00302FB0"/>
    <w:rsid w:val="00306DE3"/>
    <w:rsid w:val="003578F4"/>
    <w:rsid w:val="00361205"/>
    <w:rsid w:val="00364CB1"/>
    <w:rsid w:val="0037031B"/>
    <w:rsid w:val="0038044E"/>
    <w:rsid w:val="00396D45"/>
    <w:rsid w:val="003B4027"/>
    <w:rsid w:val="003F36D0"/>
    <w:rsid w:val="003F6DBB"/>
    <w:rsid w:val="00427B45"/>
    <w:rsid w:val="004548C4"/>
    <w:rsid w:val="004632C4"/>
    <w:rsid w:val="004A7D70"/>
    <w:rsid w:val="004C1FE7"/>
    <w:rsid w:val="004C258B"/>
    <w:rsid w:val="004D7AEA"/>
    <w:rsid w:val="004E3A3D"/>
    <w:rsid w:val="004F6173"/>
    <w:rsid w:val="00511521"/>
    <w:rsid w:val="00530B66"/>
    <w:rsid w:val="00535BBD"/>
    <w:rsid w:val="00570505"/>
    <w:rsid w:val="00586637"/>
    <w:rsid w:val="005B6105"/>
    <w:rsid w:val="005C2AB3"/>
    <w:rsid w:val="005C68EB"/>
    <w:rsid w:val="005D0251"/>
    <w:rsid w:val="005E6E17"/>
    <w:rsid w:val="005F2492"/>
    <w:rsid w:val="005F2CC2"/>
    <w:rsid w:val="00625111"/>
    <w:rsid w:val="00636EDB"/>
    <w:rsid w:val="006776A6"/>
    <w:rsid w:val="006A2FBF"/>
    <w:rsid w:val="006A69C3"/>
    <w:rsid w:val="006D031C"/>
    <w:rsid w:val="006D591A"/>
    <w:rsid w:val="006D5A41"/>
    <w:rsid w:val="006F3F9A"/>
    <w:rsid w:val="007047A1"/>
    <w:rsid w:val="00707300"/>
    <w:rsid w:val="007134D8"/>
    <w:rsid w:val="00713E4B"/>
    <w:rsid w:val="00714D1D"/>
    <w:rsid w:val="007271C0"/>
    <w:rsid w:val="00730630"/>
    <w:rsid w:val="007365CC"/>
    <w:rsid w:val="0075223E"/>
    <w:rsid w:val="00785A87"/>
    <w:rsid w:val="00791FC7"/>
    <w:rsid w:val="007A0D82"/>
    <w:rsid w:val="007A28A3"/>
    <w:rsid w:val="007B74D4"/>
    <w:rsid w:val="007C0AF3"/>
    <w:rsid w:val="007C346B"/>
    <w:rsid w:val="007C62A5"/>
    <w:rsid w:val="00802026"/>
    <w:rsid w:val="00805FE8"/>
    <w:rsid w:val="00813A73"/>
    <w:rsid w:val="0081614C"/>
    <w:rsid w:val="00841E6A"/>
    <w:rsid w:val="00862919"/>
    <w:rsid w:val="00880F90"/>
    <w:rsid w:val="008821A5"/>
    <w:rsid w:val="008B7FA9"/>
    <w:rsid w:val="008D11C9"/>
    <w:rsid w:val="008E2C9E"/>
    <w:rsid w:val="0091011E"/>
    <w:rsid w:val="00927496"/>
    <w:rsid w:val="0093605A"/>
    <w:rsid w:val="00961D7E"/>
    <w:rsid w:val="00965DE8"/>
    <w:rsid w:val="009829E2"/>
    <w:rsid w:val="009C3047"/>
    <w:rsid w:val="009E0BED"/>
    <w:rsid w:val="009F0123"/>
    <w:rsid w:val="009F463D"/>
    <w:rsid w:val="009F6957"/>
    <w:rsid w:val="00A02D25"/>
    <w:rsid w:val="00A06C64"/>
    <w:rsid w:val="00A27C9F"/>
    <w:rsid w:val="00A31B04"/>
    <w:rsid w:val="00A429C1"/>
    <w:rsid w:val="00A4511C"/>
    <w:rsid w:val="00A52129"/>
    <w:rsid w:val="00A6499E"/>
    <w:rsid w:val="00AA5B86"/>
    <w:rsid w:val="00AB07DE"/>
    <w:rsid w:val="00AB0D6B"/>
    <w:rsid w:val="00AC0DF5"/>
    <w:rsid w:val="00AE06A4"/>
    <w:rsid w:val="00B068EB"/>
    <w:rsid w:val="00B345CD"/>
    <w:rsid w:val="00B43099"/>
    <w:rsid w:val="00B4469F"/>
    <w:rsid w:val="00B50361"/>
    <w:rsid w:val="00B55C3A"/>
    <w:rsid w:val="00B669CC"/>
    <w:rsid w:val="00B71F83"/>
    <w:rsid w:val="00B8123C"/>
    <w:rsid w:val="00B861D1"/>
    <w:rsid w:val="00BA1D80"/>
    <w:rsid w:val="00BF6EF0"/>
    <w:rsid w:val="00C00B92"/>
    <w:rsid w:val="00C01E72"/>
    <w:rsid w:val="00C3695C"/>
    <w:rsid w:val="00C444BA"/>
    <w:rsid w:val="00C50F30"/>
    <w:rsid w:val="00C533AE"/>
    <w:rsid w:val="00C6401B"/>
    <w:rsid w:val="00C715A4"/>
    <w:rsid w:val="00C750AD"/>
    <w:rsid w:val="00C90A80"/>
    <w:rsid w:val="00CA53D5"/>
    <w:rsid w:val="00CB311B"/>
    <w:rsid w:val="00CB661F"/>
    <w:rsid w:val="00CD7417"/>
    <w:rsid w:val="00CE51D9"/>
    <w:rsid w:val="00D04A44"/>
    <w:rsid w:val="00D100D9"/>
    <w:rsid w:val="00D20A6C"/>
    <w:rsid w:val="00D31C18"/>
    <w:rsid w:val="00D52A86"/>
    <w:rsid w:val="00D7171C"/>
    <w:rsid w:val="00D86863"/>
    <w:rsid w:val="00D95DE8"/>
    <w:rsid w:val="00DA2044"/>
    <w:rsid w:val="00DA5FB3"/>
    <w:rsid w:val="00DB6B95"/>
    <w:rsid w:val="00DC1AD8"/>
    <w:rsid w:val="00DD3822"/>
    <w:rsid w:val="00E01308"/>
    <w:rsid w:val="00E01A6D"/>
    <w:rsid w:val="00E04C7E"/>
    <w:rsid w:val="00E063ED"/>
    <w:rsid w:val="00E2339C"/>
    <w:rsid w:val="00E57648"/>
    <w:rsid w:val="00EC76DB"/>
    <w:rsid w:val="00ED30A4"/>
    <w:rsid w:val="00EE1ED3"/>
    <w:rsid w:val="00EE6001"/>
    <w:rsid w:val="00EF3C93"/>
    <w:rsid w:val="00F015B8"/>
    <w:rsid w:val="00F06CA4"/>
    <w:rsid w:val="00F2322C"/>
    <w:rsid w:val="00F45932"/>
    <w:rsid w:val="00F46357"/>
    <w:rsid w:val="00F46C2C"/>
    <w:rsid w:val="00F474A9"/>
    <w:rsid w:val="00F62C76"/>
    <w:rsid w:val="00F720E8"/>
    <w:rsid w:val="00FB6151"/>
    <w:rsid w:val="00FD7770"/>
    <w:rsid w:val="00FE065C"/>
    <w:rsid w:val="00FE3656"/>
    <w:rsid w:val="00FE7A10"/>
    <w:rsid w:val="00FF0E8E"/>
  </w:rsids>
  <m:mathPr>
    <m:mathFont m:val="Cambria Math"/>
    <m:brkBin m:val="before"/>
    <m:brkBinSub m:val="--"/>
    <m:smallFrac m:val="0"/>
    <m:dispDef/>
    <m:lMargin m:val="0"/>
    <m:rMargin m:val="0"/>
    <m:defJc m:val="centerGroup"/>
    <m:wrapIndent m:val="1440"/>
    <m:intLim m:val="subSup"/>
    <m:naryLim m:val="undOvr"/>
  </m:mathPr>
  <w:themeFontLang w:val="hr-H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5:docId w15:val="{526F95FD-54D2-4906-9D00-98343542099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hi-IN"/>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CE51D9"/>
    <w:rPr>
      <w:sz w:val="24"/>
      <w:szCs w:val="24"/>
      <w:lang w:bidi="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38044E"/>
    <w:pPr>
      <w:tabs>
        <w:tab w:val="center" w:pos="4536"/>
        <w:tab w:val="right" w:pos="9072"/>
      </w:tabs>
    </w:pPr>
  </w:style>
  <w:style w:type="character" w:styleId="ZaglavljeChar" w:customStyle="true">
    <w:name w:val="Zaglavlje Char"/>
    <w:link w:val="Zaglavlje"/>
    <w:rsid w:val="0038044E"/>
    <w:rPr>
      <w:sz w:val="24"/>
      <w:szCs w:val="24"/>
    </w:rPr>
  </w:style>
  <w:style w:type="paragraph" w:styleId="Podnoje">
    <w:name w:val="footer"/>
    <w:basedOn w:val="Normal"/>
    <w:link w:val="PodnojeChar"/>
    <w:rsid w:val="0038044E"/>
    <w:pPr>
      <w:tabs>
        <w:tab w:val="center" w:pos="4536"/>
        <w:tab w:val="right" w:pos="9072"/>
      </w:tabs>
    </w:pPr>
  </w:style>
  <w:style w:type="character" w:styleId="PodnojeChar" w:customStyle="true">
    <w:name w:val="Podnožje Char"/>
    <w:link w:val="Podnoje"/>
    <w:rsid w:val="0038044E"/>
    <w:rPr>
      <w:sz w:val="24"/>
      <w:szCs w:val="24"/>
    </w:rPr>
  </w:style>
  <w:style w:type="paragraph" w:styleId="Bezproreda">
    <w:name w:val="No Spacing"/>
    <w:uiPriority w:val="1"/>
    <w:qFormat/>
    <w:rsid w:val="00190F2C"/>
    <w:rPr>
      <w:rFonts w:ascii="Calibri" w:hAnsi="Calibri" w:eastAsia="Calibri"/>
      <w:sz w:val="22"/>
      <w:szCs w:val="22"/>
      <w:lang w:eastAsia="en-US" w:bidi="ar-SA"/>
    </w:rPr>
  </w:style>
  <w:style w:type="paragraph" w:styleId="Odlomakpopisa">
    <w:name w:val="List Paragraph"/>
    <w:basedOn w:val="Normal"/>
    <w:uiPriority w:val="34"/>
    <w:qFormat/>
    <w:rsid w:val="00A6499E"/>
    <w:pPr>
      <w:overflowPunct w:val="false"/>
      <w:autoSpaceDE w:val="false"/>
      <w:autoSpaceDN w:val="false"/>
      <w:adjustRightInd w:val="false"/>
      <w:ind w:left="720"/>
      <w:contextualSpacing/>
      <w:textAlignment w:val="baseline"/>
    </w:pPr>
    <w:rPr>
      <w:rFonts w:ascii="Arial" w:hAnsi="Arial"/>
      <w:szCs w:val="20"/>
    </w:rPr>
  </w:style>
  <w:style w:type="paragraph" w:styleId="Default" w:customStyle="true">
    <w:name w:val="Default"/>
    <w:rsid w:val="008E2C9E"/>
    <w:pPr>
      <w:autoSpaceDE w:val="false"/>
      <w:autoSpaceDN w:val="false"/>
      <w:adjustRightInd w:val="false"/>
    </w:pPr>
    <w:rPr>
      <w:rFonts w:ascii="Arial" w:hAnsi="Arial" w:cs="Arial"/>
      <w:color w:val="000000"/>
      <w:sz w:val="24"/>
      <w:szCs w:val="24"/>
    </w:rPr>
  </w:style>
  <w:style w:type="paragraph" w:styleId="Standard" w:customStyle="true">
    <w:name w:val="Standard"/>
    <w:rsid w:val="005E6E17"/>
    <w:pPr>
      <w:suppressAutoHyphens/>
      <w:autoSpaceDN w:val="false"/>
      <w:textAlignment w:val="baseline"/>
    </w:pPr>
    <w:rPr>
      <w:rFonts w:ascii="Liberation Serif" w:hAnsi="Liberation Serif" w:eastAsia="NSimSun" w:cs="Arial"/>
      <w:kern w:val="3"/>
      <w:sz w:val="24"/>
      <w:szCs w:val="24"/>
      <w:lang w:eastAsia="zh-CN"/>
    </w:rPr>
  </w:style>
  <w:style w:type="paragraph" w:styleId="Tijeloteksta">
    <w:name w:val="Body Text"/>
    <w:basedOn w:val="Normal"/>
    <w:link w:val="TijelotekstaChar"/>
    <w:rsid w:val="005E6E17"/>
    <w:pPr>
      <w:jc w:val="both"/>
    </w:pPr>
    <w:rPr>
      <w:szCs w:val="20"/>
      <w:lang w:eastAsia="en-US"/>
    </w:rPr>
  </w:style>
  <w:style w:type="character" w:styleId="TijelotekstaChar" w:customStyle="true">
    <w:name w:val="Tijelo teksta Char"/>
    <w:basedOn w:val="Zadanifontodlomka"/>
    <w:link w:val="Tijeloteksta"/>
    <w:rsid w:val="005E6E17"/>
    <w:rPr>
      <w:sz w:val="24"/>
      <w:lang w:eastAsia="en-US" w:bidi="ar-SA"/>
    </w:rPr>
  </w:style>
  <w:style w:type="paragraph" w:styleId="Tekstbalonia">
    <w:name w:val="Balloon Text"/>
    <w:basedOn w:val="Normal"/>
    <w:link w:val="TekstbaloniaChar"/>
    <w:rsid w:val="0093605A"/>
    <w:rPr>
      <w:rFonts w:ascii="Segoe UI" w:hAnsi="Segoe UI" w:cs="Segoe UI"/>
      <w:sz w:val="18"/>
      <w:szCs w:val="18"/>
    </w:rPr>
  </w:style>
  <w:style w:type="character" w:styleId="TekstbaloniaChar" w:customStyle="true">
    <w:name w:val="Tekst balončića Char"/>
    <w:basedOn w:val="Zadanifontodlomka"/>
    <w:link w:val="Tekstbalonia"/>
    <w:rsid w:val="0093605A"/>
    <w:rPr>
      <w:rFonts w:ascii="Segoe UI" w:hAnsi="Segoe UI" w:cs="Segoe UI"/>
      <w:sz w:val="18"/>
      <w:szCs w:val="18"/>
      <w:lang w:bidi="ar-SA"/>
    </w:rPr>
  </w:style>
  <w:style w:type="character" w:styleId="Tekstrezerviranogmjesta">
    <w:name w:val="Placeholder Text"/>
    <w:basedOn w:val="Zadanifontodlomka"/>
    <w:uiPriority w:val="99"/>
    <w:semiHidden/>
    <w:rsid w:val="00A06C64"/>
    <w:rPr>
      <w:color w:val="808080"/>
      <w:bdr w:val="none" w:color="auto" w:sz="0" w:space="0"/>
      <w:shd w:val="clear" w:color="auto" w:fill="auto"/>
    </w:rPr>
  </w:style>
  <w:style w:type="character" w:styleId="eSPISCCParagraphDefaultFont" w:customStyle="true">
    <w:name w:val="eSPIS_CC_Paragraph Default Font"/>
    <w:basedOn w:val="Zadanifontodlomka"/>
    <w:rsid w:val="00A06C64"/>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A06C64"/>
    <w:rPr>
      <w:rFonts w:ascii="Arial" w:hAnsi="Arial" w:cs="Arial"/>
      <w:b/>
      <w:bdr w:val="none" w:color="auto" w:sz="0" w:space="0"/>
      <w:shd w:val="clear" w:color="auto" w:fill="FFFFCC"/>
      <w:lang w:val="hr-HR"/>
    </w:rPr>
  </w:style>
  <w:style w:type="character" w:styleId="PozadinaSvijetloCrvena" w:customStyle="true">
    <w:name w:val="Pozadina_SvijetloCrvena"/>
    <w:basedOn w:val="eSPISCCParagraphDefaultFont"/>
    <w:rsid w:val="00A06C64"/>
    <w:rPr>
      <w:rFonts w:ascii="Arial" w:hAnsi="Arial" w:cs="Arial"/>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A06C64"/>
    <w:rPr>
      <w:rFonts w:ascii="Arial" w:hAnsi="Arial" w:cs="Arial"/>
      <w:b w:val="false"/>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settings.xml" Type="http://schemas.openxmlformats.org/officeDocument/2006/relationships/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133, Kennedyev trg 11</izvorni_sadrzaj>
    <derivirana_varijabla naziv="DomainObject.Prostorija.Naziv_1">soba 133, Kennedyev trg 11</derivirana_varijabla>
  </DomainObject.Prostorija.Naziv>
  <DomainObject.Prostorija.Oznaka>
    <izvorni_sadrzaj>133 Kennedyev trg 11</izvorni_sadrzaj>
    <derivirana_varijabla naziv="DomainObject.Prostorija.Oznaka_1">133 Kennedyev trg 11</derivirana_varijabla>
  </DomainObject.Prostorija.Oznaka>
  <DomainObject.Obrazlozenje>
    <izvorni_sadrzaj/>
    <derivirana_varijabla naziv="DomainObject.Obrazlozenje_1"/>
  </DomainObject.Obrazlozenje>
  <DomainObject.StvarniPocetakDatum>
    <izvorni_sadrzaj>20. ožujka 2025.</izvorni_sadrzaj>
    <derivirana_varijabla naziv="DomainObject.StvarniPocetakDatum_1">20. ožujka 2025.</derivirana_varijabla>
  </DomainObject.StvarniPocetakDatum>
  <DomainObject.StvarniZavrsetakDatum>
    <izvorni_sadrzaj>20. ožujka 2025.</izvorni_sadrzaj>
    <derivirana_varijabla naziv="DomainObject.StvarniZavrsetakDatum_1">20. ožujka 2025.</derivirana_varijabla>
  </DomainObject.StvarniZavrsetakDatum>
  <DomainObject.PlaniraniZavrsetakDatum>
    <izvorni_sadrzaj>20. ožujka 2025.</izvorni_sadrzaj>
    <derivirana_varijabla naziv="DomainObject.PlaniraniZavrsetakDatum_1">20. ožujka 2025.</derivirana_varijabla>
  </DomainObject.PlaniraniZavrsetakDatum>
  <DomainObject.PlaniraniPocetakDatum>
    <izvorni_sadrzaj>20. ožujka 2025.</izvorni_sadrzaj>
    <derivirana_varijabla naziv="DomainObject.PlaniraniPocetakDatum_1">20. ožujka 2025.</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11:33</izvorni_sadrzaj>
    <derivirana_varijabla naziv="DomainObject.StvarniZavrsetakVrijeme_1">11:33</derivirana_varijabla>
  </DomainObject.StvarniZavrsetakVrijeme>
  <DomainObject.PlaniraniZavrsetakVrijeme>
    <izvorni_sadrzaj>11:15</izvorni_sadrzaj>
    <derivirana_varijabla naziv="DomainObject.PlaniraniZavrsetakVrijeme_1">11:15</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ožujka 2025.</izvorni_sadrzaj>
    <derivirana_varijabla naziv="DomainObject.Zapisnik.DatumKreiranja_1">20. ožujka 2025.</derivirana_varijabla>
  </DomainObject.Zapisnik.DatumKreiranja>
  <DomainObject.Zapisnik.ImovinskaKorist>
    <izvorni_sadrzaj/>
    <derivirana_varijabla naziv="DomainObject.Zapisnik.ImovinskaKorist_1"/>
  </DomainObject.Zapisnik.ImovinskaKorist>
  <DomainObject.Zapisnik.Oznaka>
    <izvorni_sadrzaj>Povrv-1191/2024-3</izvorni_sadrzaj>
    <derivirana_varijabla naziv="DomainObject.Zapisnik.Oznaka_1">Povrv-1191/2024-3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1191</izvorni_sadrzaj>
    <derivirana_varijabla naziv="DomainObject.Predmet.Broj_1">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2024.</izvorni_sadrzaj>
    <derivirana_varijabla naziv="DomainObject.Predmet.DatumOsnivanja_1">28. studenog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1924.48</izvorni_sadrzaj>
    <derivirana_varijabla naziv="DomainObject.Predmet.InicijalnaVrijednost_1">1924.48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Povrv-1191/2024</izvorni_sadrzaj>
    <derivirana_varijabla naziv="DomainObject.Predmet.OznakaBroj_1">Povrv-1191/2024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Nebojša Bunčić</izvorni_sadrzaj>
    <derivirana_varijabla naziv="DomainObject.Predmet.ProtustrankaFormated_1">  Nebojša Bunčić</derivirana_varijabla>
  </DomainObject.Predmet.ProtustrankaFormated>
  <DomainObject.Predmet.ProtustrankaFormatedOIB>
    <izvorni_sadrzaj>  Nebojša Bunčić, OIB 84051582431</izvorni_sadrzaj>
    <derivirana_varijabla naziv="DomainObject.Predmet.ProtustrankaFormatedOIB_1">  Nebojša Bunčić, OIB 84051582431</derivirana_varijabla>
  </DomainObject.Predmet.ProtustrankaFormatedOIB>
  <DomainObject.Predmet.ProtustrankaFormatedWithAdress>
    <izvorni_sadrzaj> Nebojša Bunčić, Veliki Šušnjar 3, 44250 Veliki Šušnjar</izvorni_sadrzaj>
    <derivirana_varijabla naziv="DomainObject.Predmet.ProtustrankaFormatedWithAdress_1"> Nebojša Bunčić, Veliki Šušnjar 3, 44250 Veliki Šušnjar</derivirana_varijabla>
  </DomainObject.Predmet.ProtustrankaFormatedWithAdress>
  <DomainObject.Predmet.ProtustrankaFormatedWithAdressOIB>
    <izvorni_sadrzaj> Nebojša Bunčić, OIB 84051582431, Veliki Šušnjar 3, 44250 Veliki Šušnjar</izvorni_sadrzaj>
    <derivirana_varijabla naziv="DomainObject.Predmet.ProtustrankaFormatedWithAdressOIB_1"> Nebojša Bunčić, OIB 84051582431, Veliki Šušnjar 3, 44250 Veliki Šušnjar</derivirana_varijabla>
  </DomainObject.Predmet.ProtustrankaFormatedWithAdressOIB>
  <DomainObject.Predmet.ProtustrankaWithAdress>
    <izvorni_sadrzaj>Nebojša Bunčić Veliki Šušnjar 3, 44250 Veliki Šušnjar</izvorni_sadrzaj>
    <derivirana_varijabla naziv="DomainObject.Predmet.ProtustrankaWithAdress_1">Nebojša Bunčić Veliki Šušnjar 3, 44250 Veliki Šušnjar</derivirana_varijabla>
  </DomainObject.Predmet.ProtustrankaWithAdress>
  <DomainObject.Predmet.ProtustrankaWithAdressOIB>
    <izvorni_sadrzaj>Nebojša Bunčić, OIB 84051582431, Veliki Šušnjar 3, 44250 Veliki Šušnjar</izvorni_sadrzaj>
    <derivirana_varijabla naziv="DomainObject.Predmet.ProtustrankaWithAdressOIB_1">Nebojša Bunčić, OIB 84051582431, Veliki Šušnjar 3, 44250 Veliki Šušnjar</derivirana_varijabla>
  </DomainObject.Predmet.ProtustrankaWithAdressOIB>
  <DomainObject.Predmet.ProtustrankaNazivFormated>
    <izvorni_sadrzaj>Nebojša Bunčić</izvorni_sadrzaj>
    <derivirana_varijabla naziv="DomainObject.Predmet.ProtustrankaNazivFormated_1">Nebojša Bunčić</derivirana_varijabla>
  </DomainObject.Predmet.ProtustrankaNazivFormated>
  <DomainObject.Predmet.ProtustrankaNazivFormatedOIB>
    <izvorni_sadrzaj>Nebojša Bunčić, OIB 84051582431</izvorni_sadrzaj>
    <derivirana_varijabla naziv="DomainObject.Predmet.ProtustrankaNazivFormatedOIB_1">Nebojša Bunčić, OIB 84051582431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97. -  A. Bilić</izvorni_sadrzaj>
    <derivirana_varijabla naziv="DomainObject.Predmet.Referada.Naziv_1">97. -  A. Bilić</derivirana_varijabla>
  </DomainObject.Predmet.Referada.Naziv>
  <DomainObject.Predmet.Referada.Oznaka>
    <izvorni_sadrzaj>97.</izvorni_sadrzaj>
    <derivirana_varijabla naziv="DomainObject.Predmet.Referada.Oznaka_1">97.</derivirana_varijabla>
  </DomainObject.Predmet.Referada.Oznaka>
  <DomainObject.Predmet.Referada.Prostorija.Naziv>
    <izvorni_sadrzaj>soba 133, Kennedyev trg 11</izvorni_sadrzaj>
    <derivirana_varijabla naziv="DomainObject.Predmet.Referada.Prostorija.Naziv_1">soba 133, Kennedyev trg 11</derivirana_varijabla>
  </DomainObject.Predmet.Referada.Prostorija.Naziv>
  <DomainObject.Predmet.Referada.Prostorija.Oznaka>
    <izvorni_sadrzaj>133 Kennedyev trg 11</izvorni_sadrzaj>
    <derivirana_varijabla naziv="DomainObject.Predmet.Referada.Prostorija.Oznaka_1">133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Aleksandra Bilić</izvorni_sadrzaj>
    <derivirana_varijabla naziv="DomainObject.Predmet.Referada.Sudac_1">Aleksandra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SKELA BANOVINA d.o.o. zastupanog po punomoćniku Josipa Milković</izvorni_sadrzaj>
    <derivirana_varijabla naziv="DomainObject.Predmet.StrankaFormated_1">  SKELA BANOVINA d.o.o. zastupanog po punomoćniku Josipa Milković</derivirana_varijabla>
  </DomainObject.Predmet.StrankaFormated>
  <DomainObject.Predmet.StrankaFormatedOIB>
    <izvorni_sadrzaj>  SKELA BANOVINA d.o.o., OIB 06123730554 zastupanog po punomoćniku Josipa Milković</izvorni_sadrzaj>
    <derivirana_varijabla naziv="DomainObject.Predmet.StrankaFormatedOIB_1">  SKELA BANOVINA d.o.o., OIB 06123730554 zastupanog po punomoćniku Josipa Milković</derivirana_varijabla>
  </DomainObject.Predmet.StrankaFormatedOIB>
  <DomainObject.Predmet.StrankaFormatedWithAdress>
    <izvorni_sadrzaj> SKELA BANOVINA d.o.o., Ajdovščinska 44, 44250 Petrinja zastupanog po punomoćniku Josipa Milković</izvorni_sadrzaj>
    <derivirana_varijabla naziv="DomainObject.Predmet.StrankaFormatedWithAdress_1"> SKELA BANOVINA d.o.o., Ajdovščinska 44, 44250 Petrinja zastupanog po punomoćniku Josipa Milković</derivirana_varijabla>
  </DomainObject.Predmet.StrankaFormatedWithAdress>
  <DomainObject.Predmet.StrankaFormatedWithAdressOIB>
    <izvorni_sadrzaj> SKELA BANOVINA d.o.o., OIB 06123730554, Ajdovščinska 44, 44250 Petrinja zastupanog po punomoćniku Josipa Milković</izvorni_sadrzaj>
    <derivirana_varijabla naziv="DomainObject.Predmet.StrankaFormatedWithAdressOIB_1"> SKELA BANOVINA d.o.o., OIB 06123730554, Ajdovščinska 44, 44250 Petrinja zastupanog po punomoćniku Josipa Milković</derivirana_varijabla>
  </DomainObject.Predmet.StrankaFormatedWithAdressOIB>
  <DomainObject.Predmet.StrankaWithAdress>
    <izvorni_sadrzaj>SKELA BANOVINA d.o.o. Ajdovščinska 44,44250 Petrinja</izvorni_sadrzaj>
    <derivirana_varijabla naziv="DomainObject.Predmet.StrankaWithAdress_1">SKELA BANOVINA d.o.o. Ajdovščinska 44,44250 Petrinja</derivirana_varijabla>
  </DomainObject.Predmet.StrankaWithAdress>
  <DomainObject.Predmet.StrankaWithAdressOIB>
    <izvorni_sadrzaj>SKELA BANOVINA d.o.o., OIB 06123730554, Ajdovščinska 44,44250 Petrinja</izvorni_sadrzaj>
    <derivirana_varijabla naziv="DomainObject.Predmet.StrankaWithAdressOIB_1">SKELA BANOVINA d.o.o., OIB 06123730554, Ajdovščinska 44,44250 Petrinja</derivirana_varijabla>
  </DomainObject.Predmet.StrankaWithAdressOIB>
  <DomainObject.Predmet.StrankaNazivFormated>
    <izvorni_sadrzaj>SKELA BANOVINA d.o.o.</izvorni_sadrzaj>
    <derivirana_varijabla naziv="DomainObject.Predmet.StrankaNazivFormated_1">SKELA BANOVINA d.o.o.</derivirana_varijabla>
  </DomainObject.Predmet.StrankaNazivFormated>
  <DomainObject.Predmet.StrankaNazivFormatedOIB>
    <izvorni_sadrzaj>SKELA BANOVINA d.o.o., OIB 06123730554</izvorni_sadrzaj>
    <derivirana_varijabla naziv="DomainObject.Predmet.StrankaNazivFormatedOIB_1">SKELA BANOVINA d.o.o., OIB 06123730554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97. -  A. Bilić</izvorni_sadrzaj>
    <derivirana_varijabla naziv="DomainObject.Predmet.TrenutnaLokacijaSpisa.Naziv_1">97. -  A.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izvorni_sadrzaj>
    <derivirana_varijabla naziv="DomainObject.Predmet.UstrojstvenaJedinicaVodi.Oznaka_1">P</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Predmeti proslijeđeni od JB po prigovoru na rješenje o ovrsi na temelju vjerodostojne isprave</izvorni_sadrzaj>
    <derivirana_varijabla naziv="DomainObject.Predmet.VrstaSpora.Naziv_1">Predmeti proslijeđeni od JB po prigovoru na rješenje o ovrsi na temelju vjerodostojne isprave</derivirana_varijabla>
  </DomainObject.Predmet.VrstaSpora.Naziv>
  <DomainObject.Predmet.Zapisnicar>
    <izvorni_sadrzaj>Dunja Javorić</izvorni_sadrzaj>
    <derivirana_varijabla naziv="DomainObject.Predmet.Zapisnicar_1">Dunja Javorić</derivirana_varijabla>
  </DomainObject.Predmet.Zapisnicar>
  <DomainObject.Predmet.StrankaListFormated>
    <izvorni_sadrzaj>
      <item>SKELA BANOVINA d.o.o. zastupanog po punomoćniku Josipa Milković</item>
    </izvorni_sadrzaj>
    <derivirana_varijabla naziv="DomainObject.Predmet.StrankaListFormated_1">
      <item>SKELA BANOVINA d.o.o. zastupanog po punomoćniku Josipa Milković</item>
    </derivirana_varijabla>
  </DomainObject.Predmet.StrankaListFormated>
  <DomainObject.Predmet.StrankaListFormatedOIB>
    <izvorni_sadrzaj>
      <item>SKELA BANOVINA d.o.o., OIB 06123730554 zastupanog po punomoćniku Josipa Milković</item>
    </izvorni_sadrzaj>
    <derivirana_varijabla naziv="DomainObject.Predmet.StrankaListFormatedOIB_1">
      <item>SKELA BANOVINA d.o.o., OIB 06123730554 zastupanog po punomoćniku Josipa Milković</item>
    </derivirana_varijabla>
  </DomainObject.Predmet.StrankaListFormatedOIB>
  <DomainObject.Predmet.StrankaListFormatedWithAdress>
    <izvorni_sadrzaj>
      <item>SKELA BANOVINA d.o.o., Ajdovščinska 44, 44250 Petrinja zastupanog po punomoćniku Josipa Milković</item>
    </izvorni_sadrzaj>
    <derivirana_varijabla naziv="DomainObject.Predmet.StrankaListFormatedWithAdress_1">
      <item>SKELA BANOVINA d.o.o., Ajdovščinska 44, 44250 Petrinja zastupanog po punomoćniku Josipa Milković</item>
    </derivirana_varijabla>
  </DomainObject.Predmet.StrankaListFormatedWithAdress>
  <DomainObject.Predmet.StrankaListFormatedWithAdressOIB>
    <izvorni_sadrzaj>
      <item>SKELA BANOVINA d.o.o., OIB 06123730554, Ajdovščinska 44, 44250 Petrinja zastupanog po punomoćniku Josipa Milković</item>
    </izvorni_sadrzaj>
    <derivirana_varijabla naziv="DomainObject.Predmet.StrankaListFormatedWithAdressOIB_1">
      <item>SKELA BANOVINA d.o.o., OIB 06123730554, Ajdovščinska 44, 44250 Petrinja zastupanog po punomoćniku Josipa Milković</item>
    </derivirana_varijabla>
  </DomainObject.Predmet.StrankaListFormatedWithAdressOIB>
  <DomainObject.Predmet.StrankaListNazivFormated>
    <izvorni_sadrzaj>
      <item>SKELA BANOVINA d.o.o.</item>
    </izvorni_sadrzaj>
    <derivirana_varijabla naziv="DomainObject.Predmet.StrankaListNazivFormated_1">
      <item>SKELA BANOVINA d.o.o.</item>
    </derivirana_varijabla>
  </DomainObject.Predmet.StrankaListNazivFormated>
  <DomainObject.Predmet.StrankaListNazivFormatedOIB>
    <izvorni_sadrzaj>
      <item>SKELA BANOVINA d.o.o., OIB 06123730554</item>
    </izvorni_sadrzaj>
    <derivirana_varijabla naziv="DomainObject.Predmet.StrankaListNazivFormatedOIB_1">
      <item>SKELA BANOVINA d.o.o., OIB 06123730554</item>
    </derivirana_varijabla>
  </DomainObject.Predmet.StrankaListNazivFormatedOIB>
  <DomainObject.Predmet.ProtuStrankaListFormated>
    <izvorni_sadrzaj>
      <item>Nebojša Bunčić</item>
    </izvorni_sadrzaj>
    <derivirana_varijabla naziv="DomainObject.Predmet.ProtuStrankaListFormated_1">
      <item>Nebojša Bunčić</item>
    </derivirana_varijabla>
  </DomainObject.Predmet.ProtuStrankaListFormated>
  <DomainObject.Predmet.ProtuStrankaListFormatedOIB>
    <izvorni_sadrzaj>
      <item>Nebojša Bunčić, OIB 84051582431</item>
    </izvorni_sadrzaj>
    <derivirana_varijabla naziv="DomainObject.Predmet.ProtuStrankaListFormatedOIB_1">
      <item>Nebojša Bunčić, OIB 84051582431</item>
    </derivirana_varijabla>
  </DomainObject.Predmet.ProtuStrankaListFormatedOIB>
  <DomainObject.Predmet.ProtuStrankaListFormatedWithAdress>
    <izvorni_sadrzaj>
      <item>Nebojša Bunčić, Veliki Šušnjar 3, 44250 Veliki Šušnjar</item>
    </izvorni_sadrzaj>
    <derivirana_varijabla naziv="DomainObject.Predmet.ProtuStrankaListFormatedWithAdress_1">
      <item>Nebojša Bunčić, Veliki Šušnjar 3, 44250 Veliki Šušnjar</item>
    </derivirana_varijabla>
  </DomainObject.Predmet.ProtuStrankaListFormatedWithAdress>
  <DomainObject.Predmet.ProtuStrankaListFormatedWithAdressOIB>
    <izvorni_sadrzaj>
      <item>Nebojša Bunčić, OIB 84051582431, Veliki Šušnjar 3, 44250 Veliki Šušnjar</item>
    </izvorni_sadrzaj>
    <derivirana_varijabla naziv="DomainObject.Predmet.ProtuStrankaListFormatedWithAdressOIB_1">
      <item>Nebojša Bunčić, OIB 84051582431, Veliki Šušnjar 3, 44250 Veliki Šušnjar</item>
    </derivirana_varijabla>
  </DomainObject.Predmet.ProtuStrankaListFormatedWithAdressOIB>
  <DomainObject.Predmet.ProtuStrankaListNazivFormated>
    <izvorni_sadrzaj>
      <item>Nebojša Bunčić</item>
    </izvorni_sadrzaj>
    <derivirana_varijabla naziv="DomainObject.Predmet.ProtuStrankaListNazivFormated_1">
      <item>Nebojša Bunčić</item>
    </derivirana_varijabla>
  </DomainObject.Predmet.ProtuStrankaListNazivFormated>
  <DomainObject.Predmet.ProtuStrankaListNazivFormatedOIB>
    <izvorni_sadrzaj>
      <item>Nebojša Bunčić, OIB 84051582431</item>
    </izvorni_sadrzaj>
    <derivirana_varijabla naziv="DomainObject.Predmet.ProtuStrankaListNazivFormatedOIB_1">
      <item>Nebojša Bunčić, OIB 84051582431</item>
    </derivirana_varijabla>
  </DomainObject.Predmet.ProtuStrankaListNazivFormatedOIB>
  <DomainObject.Predmet.OstaliListFormated>
    <izvorni_sadrzaj>
      <item>Josipa Milković punomoćnik sudionika u postupku SKELA BANOVINA d.o.o.</item>
    </izvorni_sadrzaj>
    <derivirana_varijabla naziv="DomainObject.Predmet.OstaliListFormated_1">
      <item>Josipa Milković punomoćnik sudionika u postupku SKELA BANOVINA d.o.o.</item>
    </derivirana_varijabla>
  </DomainObject.Predmet.OstaliListFormated>
  <DomainObject.Predmet.OstaliListFormatedOIB>
    <izvorni_sadrzaj>
      <item>Josipa Milković, OIB 16534402990 punomoćnik sudionika u postupku SKELA BANOVINA d.o.o.</item>
    </izvorni_sadrzaj>
    <derivirana_varijabla naziv="DomainObject.Predmet.OstaliListFormatedOIB_1">
      <item>Josipa Milković, OIB 16534402990 punomoćnik sudionika u postupku SKELA BANOVINA d.o.o.</item>
    </derivirana_varijabla>
  </DomainObject.Predmet.OstaliListFormatedOIB>
  <DomainObject.Predmet.OstaliListFormatedWithAdress>
    <izvorni_sadrzaj>
      <item>Josipa Milković, Ante Starčevića 43, 44000 Sisak punomoćnik sudionika u postupku SKELA BANOVINA d.o.o.</item>
    </izvorni_sadrzaj>
    <derivirana_varijabla naziv="DomainObject.Predmet.OstaliListFormatedWithAdress_1">
      <item>Josipa Milković, Ante Starčevića 43, 44000 Sisak punomoćnik sudionika u postupku SKELA BANOVINA d.o.o.</item>
    </derivirana_varijabla>
  </DomainObject.Predmet.OstaliListFormatedWithAdress>
  <DomainObject.Predmet.OstaliListFormatedWithAdressOIB>
    <izvorni_sadrzaj>
      <item>Josipa Milković, OIB 16534402990, Ante Starčevića 43, 44000 Sisak punomoćnik sudionika u postupku SKELA BANOVINA d.o.o.</item>
    </izvorni_sadrzaj>
    <derivirana_varijabla naziv="DomainObject.Predmet.OstaliListFormatedWithAdressOIB_1">
      <item>Josipa Milković, OIB 16534402990, Ante Starčevića 43, 44000 Sisak punomoćnik sudionika u postupku SKELA BANOVINA d.o.o.</item>
    </derivirana_varijabla>
  </DomainObject.Predmet.OstaliListFormatedWithAdressOIB>
  <DomainObject.Predmet.OstaliListNazivFormated>
    <izvorni_sadrzaj>
      <item>Josipa Milković</item>
    </izvorni_sadrzaj>
    <derivirana_varijabla naziv="DomainObject.Predmet.OstaliListNazivFormated_1">
      <item>Josipa Milković</item>
    </derivirana_varijabla>
  </DomainObject.Predmet.OstaliListNazivFormated>
  <DomainObject.Predmet.OstaliListNazivFormatedOIB>
    <izvorni_sadrzaj>
      <item>Josipa Milković, OIB 16534402990</item>
    </izvorni_sadrzaj>
    <derivirana_varijabla naziv="DomainObject.Predmet.OstaliListNazivFormatedOIB_1">
      <item>Josipa Milković, OIB 16534402990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ožujka 2025.</izvorni_sadrzaj>
    <derivirana_varijabla naziv="DomainObject.Datum_1">20. ožujka 2025.</derivirana_varijabla>
  </DomainObject.Datum>
  <DomainObject.PoslovniBrojDokumenta>
    <izvorni_sadrzaj>Povrv-1191/2024-3</izvorni_sadrzaj>
    <derivirana_varijabla naziv="DomainObject.PoslovniBrojDokumenta_1">Povrv-1191/2024-3</derivirana_varijabla>
  </DomainObject.PoslovniBrojDokumenta>
  <DomainObject.Predmet.StrankaIDrugi>
    <izvorni_sadrzaj>SKELA BANOVINA d.o.o.</izvorni_sadrzaj>
    <derivirana_varijabla naziv="DomainObject.Predmet.StrankaIDrugi_1">SKELA BANOVINA d.o.o.</derivirana_varijabla>
  </DomainObject.Predmet.StrankaIDrugi>
  <DomainObject.Predmet.ProtustrankaIDrugi>
    <izvorni_sadrzaj>Nebojša Bunčić</izvorni_sadrzaj>
    <derivirana_varijabla naziv="DomainObject.Predmet.ProtustrankaIDrugi_1">Nebojša Bunčić</derivirana_varijabla>
  </DomainObject.Predmet.ProtustrankaIDrugi>
  <DomainObject.Predmet.StrankaIDrugiAdressOIB>
    <izvorni_sadrzaj>SKELA BANOVINA d.o.o., OIB 06123730554, Ajdovščinska 44, 44250 Petrinja</izvorni_sadrzaj>
    <derivirana_varijabla naziv="DomainObject.Predmet.StrankaIDrugiAdressOIB_1">SKELA BANOVINA d.o.o., OIB 06123730554, Ajdovščinska 44, 44250 Petrinja</derivirana_varijabla>
  </DomainObject.Predmet.StrankaIDrugiAdressOIB>
  <DomainObject.Predmet.ProtustrankaIDrugiAdressOIB>
    <izvorni_sadrzaj>Nebojša Bunčić, OIB 84051582431, Veliki Šušnjar 3, 44250 Veliki Šušnjar</izvorni_sadrzaj>
    <derivirana_varijabla naziv="DomainObject.Predmet.ProtustrankaIDrugiAdressOIB_1">Nebojša Bunčić, OIB 84051582431, Veliki Šušnjar 3, 44250 Veliki Šušnjar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SKELA BANOVINA d.o.o.</item>
      <item>Nebojša Bunčić</item>
      <item>Josipa Milković</item>
    </izvorni_sadrzaj>
    <derivirana_varijabla naziv="DomainObject.Predmet.SudioniciListNaziv_1">
      <item>SKELA BANOVINA d.o.o.</item>
      <item>Nebojša Bunčić</item>
      <item>Josipa Milković</item>
    </derivirana_varijabla>
  </DomainObject.Predmet.SudioniciListNaziv>
  <DomainObject.Predmet.SudioniciListAdressOIB>
    <izvorni_sadrzaj>
      <item>SKELA BANOVINA d.o.o., OIB 06123730554, Ajdovščinska 44,44250 Petrinja</item>
      <item>Nebojša Bunčić, OIB 84051582431, Veliki Šušnjar 3,44250 Veliki Šušnjar</item>
      <item>Josipa Milković, OIB 16534402990, Ante Starčevića 43,44000 Sisak</item>
    </izvorni_sadrzaj>
    <derivirana_varijabla naziv="DomainObject.Predmet.SudioniciListAdressOIB_1">
      <item>SKELA BANOVINA d.o.o., OIB 06123730554, Ajdovščinska 44,44250 Petrinja</item>
      <item>Nebojša Bunčić, OIB 84051582431, Veliki Šušnjar 3,44250 Veliki Šušnjar</item>
      <item>Josipa Milković, OIB 16534402990, Ante Starčevića 43,44000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06123730554</item>
      <item>, OIB 84051582431</item>
      <item>, OIB 16534402990</item>
    </izvorni_sadrzaj>
    <derivirana_varijabla naziv="DomainObject.Predmet.SudioniciListNazivOIB_1">
      <item>, OIB 06123730554</item>
      <item>, OIB 84051582431</item>
      <item>, OIB 16534402990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srpnja 2023.</izvorni_sadrzaj>
    <derivirana_varijabla naziv="DomainObject.Predmet.DatumPocetkaProcesa_1">6. srpnja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1059</properties:Words>
  <properties:Characters>5832</properties:Characters>
  <properties:Lines>189</properties:Lines>
  <properties:Paragraphs>67</properties:Paragraphs>
  <properties:TotalTime>85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6957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2025-03-19T13:46:00Z</dcterms:created>
  <dc:creator>Matea Bizjak</dc:creator>
  <cp:keywords/>
  <cp:lastModifiedBy>Dunja Horvatić</cp:lastModifiedBy>
  <cp:lastPrinted>2025-03-20T10:41:00Z</cp:lastPrinted>
  <dcterms:modified xmlns:xsi="http://www.w3.org/2001/XMLSchema-instance" xsi:type="dcterms:W3CDTF">2025-03-20T10:47:00Z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Povrv-1191/2024-3 / Zapisnik - Pripremno ročište (Povrv-1191-2024. pripremno roč. 20.3.25..docx)</vt:lpwstr>
  </prop:property>
  <prop:property fmtid="{D5CDD505-2E9C-101B-9397-08002B2CF9AE}" pid="4" name="CC_coloring">
    <vt:bool>false</vt:bool>
  </prop:property>
  <prop:property fmtid="{D5CDD505-2E9C-101B-9397-08002B2CF9AE}" pid="5" name="BrojStranica">
    <vt:i4>5</vt:i4>
  </prop:property>
</prop:Properties>
</file>